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B385" w14:textId="626A88C3" w:rsidR="0044026C" w:rsidRDefault="0044026C" w:rsidP="00F86DAB">
      <w:pPr>
        <w:pStyle w:val="Ttulo"/>
        <w:widowControl w:val="0"/>
        <w:spacing w:before="240"/>
        <w:rPr>
          <w:rFonts w:cs="Arial"/>
          <w:smallCaps/>
          <w:snapToGrid w:val="0"/>
          <w:szCs w:val="24"/>
          <w:lang w:val="es-MX"/>
        </w:rPr>
      </w:pPr>
      <w:bookmarkStart w:id="0" w:name="_GoBack"/>
      <w:bookmarkEnd w:id="0"/>
      <w:r w:rsidRPr="003C0955">
        <w:rPr>
          <w:noProof/>
          <w:color w:val="244061" w:themeColor="accent1" w:themeShade="80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CD5462" wp14:editId="5E16B592">
                <wp:simplePos x="0" y="0"/>
                <wp:positionH relativeFrom="margin">
                  <wp:posOffset>3019425</wp:posOffset>
                </wp:positionH>
                <wp:positionV relativeFrom="paragraph">
                  <wp:posOffset>191770</wp:posOffset>
                </wp:positionV>
                <wp:extent cx="3336290" cy="266700"/>
                <wp:effectExtent l="0" t="0" r="0" b="0"/>
                <wp:wrapSquare wrapText="bothSides"/>
                <wp:docPr id="610586331" name="Cuadro de texto 610586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ACDD" w14:textId="3AF2AC7F" w:rsidR="0044026C" w:rsidRDefault="0044026C" w:rsidP="0044026C">
                            <w:pPr>
                              <w:jc w:val="right"/>
                            </w:pPr>
                            <w:r w:rsidRPr="00B30160">
                              <w:rPr>
                                <w:rFonts w:ascii="Arial Negrita" w:hAnsi="Arial Negrita"/>
                                <w:color w:val="07BFBA"/>
                              </w:rPr>
                              <w:t xml:space="preserve">Próxima publicación: </w:t>
                            </w:r>
                            <w:r>
                              <w:rPr>
                                <w:rFonts w:ascii="Arial Negrita" w:hAnsi="Arial Negrita"/>
                                <w:b/>
                                <w:bCs/>
                                <w:color w:val="07BFBA"/>
                              </w:rPr>
                              <w:t>14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5462" id="_x0000_t202" coordsize="21600,21600" o:spt="202" path="m,l,21600r21600,l21600,xe">
                <v:stroke joinstyle="miter"/>
                <v:path gradientshapeok="t" o:connecttype="rect"/>
              </v:shapetype>
              <v:shape id="Cuadro de texto 610586331" o:spid="_x0000_s1026" type="#_x0000_t202" style="position:absolute;left:0;text-align:left;margin-left:237.75pt;margin-top:15.1pt;width:262.7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" filled="f" stroked="f">
                <v:textbox>
                  <w:txbxContent>
                    <w:p w14:paraId="1AD1ACDD" w14:textId="3AF2AC7F" w:rsidR="0044026C" w:rsidRDefault="0044026C" w:rsidP="0044026C">
                      <w:pPr>
                        <w:jc w:val="right"/>
                      </w:pPr>
                      <w:r w:rsidRPr="00B30160">
                        <w:rPr>
                          <w:rFonts w:ascii="Arial Negrita" w:hAnsi="Arial Negrita"/>
                          <w:color w:val="07BFBA"/>
                        </w:rPr>
                        <w:t xml:space="preserve">Próxima publicación: </w:t>
                      </w:r>
                      <w:r>
                        <w:rPr>
                          <w:rFonts w:ascii="Arial Negrita" w:hAnsi="Arial Negrita"/>
                          <w:b/>
                          <w:bCs/>
                          <w:color w:val="07BFBA"/>
                        </w:rPr>
                        <w:t>14 de mayo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4E0E5" w14:textId="0A1BAA8D" w:rsidR="0044026C" w:rsidRDefault="0044026C" w:rsidP="00F86DAB">
      <w:pPr>
        <w:pStyle w:val="Ttulo"/>
        <w:widowControl w:val="0"/>
        <w:spacing w:before="240"/>
        <w:rPr>
          <w:rFonts w:cs="Arial"/>
          <w:smallCaps/>
          <w:snapToGrid w:val="0"/>
          <w:szCs w:val="24"/>
          <w:lang w:val="es-MX"/>
        </w:rPr>
      </w:pPr>
    </w:p>
    <w:p w14:paraId="4CFE09C1" w14:textId="30B46D83" w:rsidR="00095006" w:rsidRPr="0044026C" w:rsidRDefault="004D55BC" w:rsidP="00F86DAB">
      <w:pPr>
        <w:pStyle w:val="Ttulo"/>
        <w:widowControl w:val="0"/>
        <w:spacing w:before="240"/>
        <w:rPr>
          <w:rFonts w:ascii="Arial Negrita" w:hAnsi="Arial Negrita" w:cs="Arial"/>
          <w:snapToGrid w:val="0"/>
          <w:szCs w:val="24"/>
          <w:lang w:val="es-MX"/>
        </w:rPr>
      </w:pPr>
      <w:r w:rsidRPr="0044026C">
        <w:rPr>
          <w:rFonts w:ascii="Arial Negrita" w:hAnsi="Arial Negrita" w:cs="Arial"/>
          <w:snapToGrid w:val="0"/>
          <w:szCs w:val="24"/>
          <w:lang w:val="es-MX"/>
        </w:rPr>
        <w:t>INDICADORES DEL SECTOR MANUFACTURERO</w:t>
      </w:r>
    </w:p>
    <w:p w14:paraId="48C8FE84" w14:textId="2E8FE3F2" w:rsidR="00095006" w:rsidRPr="00F11EF5" w:rsidRDefault="005F3490" w:rsidP="004D55BC">
      <w:pPr>
        <w:pStyle w:val="Ttulo"/>
        <w:widowControl w:val="0"/>
        <w:spacing w:before="60"/>
        <w:rPr>
          <w:rFonts w:cs="Arial"/>
          <w:b w:val="0"/>
          <w:bCs/>
          <w:caps/>
          <w:snapToGrid w:val="0"/>
          <w:szCs w:val="24"/>
          <w:lang w:val="es-MX"/>
        </w:rPr>
      </w:pPr>
      <w:r w:rsidRPr="00F11EF5">
        <w:rPr>
          <w:rFonts w:cs="Arial"/>
          <w:b w:val="0"/>
          <w:bCs/>
          <w:snapToGrid w:val="0"/>
          <w:szCs w:val="24"/>
          <w:lang w:val="es-MX"/>
        </w:rPr>
        <w:t>Febre</w:t>
      </w:r>
      <w:r w:rsidR="005F3B6E" w:rsidRPr="00F11EF5">
        <w:rPr>
          <w:rFonts w:cs="Arial"/>
          <w:b w:val="0"/>
          <w:bCs/>
          <w:snapToGrid w:val="0"/>
          <w:szCs w:val="24"/>
          <w:lang w:val="es-MX"/>
        </w:rPr>
        <w:t>ro</w:t>
      </w:r>
      <w:r w:rsidR="004D55BC" w:rsidRPr="00F11EF5">
        <w:rPr>
          <w:rFonts w:cs="Arial"/>
          <w:b w:val="0"/>
          <w:bCs/>
          <w:snapToGrid w:val="0"/>
          <w:szCs w:val="24"/>
          <w:lang w:val="es-MX"/>
        </w:rPr>
        <w:t xml:space="preserve"> de 202</w:t>
      </w:r>
      <w:r w:rsidR="005F3B6E" w:rsidRPr="00F11EF5">
        <w:rPr>
          <w:rFonts w:cs="Arial"/>
          <w:b w:val="0"/>
          <w:bCs/>
          <w:snapToGrid w:val="0"/>
          <w:szCs w:val="24"/>
          <w:lang w:val="es-MX"/>
        </w:rPr>
        <w:t>4</w:t>
      </w:r>
    </w:p>
    <w:p w14:paraId="4B199AAD" w14:textId="5F9D4E47" w:rsidR="0092351F" w:rsidRPr="0044026C" w:rsidRDefault="0092351F" w:rsidP="0044026C">
      <w:pPr>
        <w:pStyle w:val="bulnot"/>
        <w:widowControl w:val="0"/>
        <w:tabs>
          <w:tab w:val="clear" w:pos="851"/>
        </w:tabs>
        <w:ind w:left="0" w:right="51" w:firstLine="0"/>
        <w:rPr>
          <w:rFonts w:cs="Arial"/>
          <w:b w:val="0"/>
          <w:color w:val="auto"/>
          <w:spacing w:val="9"/>
          <w:sz w:val="24"/>
        </w:rPr>
      </w:pPr>
      <w:r w:rsidRPr="0044026C">
        <w:rPr>
          <w:rFonts w:cs="Arial"/>
          <w:b w:val="0"/>
          <w:color w:val="auto"/>
          <w:spacing w:val="9"/>
          <w:sz w:val="24"/>
        </w:rPr>
        <w:t>El Instituto Nacional de Estadística y Geografía</w:t>
      </w:r>
      <w:r w:rsidR="0044026C">
        <w:rPr>
          <w:rFonts w:cs="Arial"/>
          <w:b w:val="0"/>
          <w:color w:val="auto"/>
          <w:spacing w:val="9"/>
          <w:sz w:val="24"/>
        </w:rPr>
        <w:t xml:space="preserve"> (</w:t>
      </w:r>
      <w:r w:rsidR="0044026C" w:rsidRPr="0044026C">
        <w:rPr>
          <w:rFonts w:cs="Arial"/>
          <w:b w:val="0"/>
          <w:smallCaps/>
          <w:color w:val="auto"/>
          <w:spacing w:val="9"/>
          <w:sz w:val="24"/>
        </w:rPr>
        <w:t>inegi</w:t>
      </w:r>
      <w:r w:rsidR="0044026C">
        <w:rPr>
          <w:rFonts w:cs="Arial"/>
          <w:b w:val="0"/>
          <w:color w:val="auto"/>
          <w:spacing w:val="9"/>
          <w:sz w:val="24"/>
        </w:rPr>
        <w:t>)</w:t>
      </w:r>
      <w:r w:rsidRPr="0044026C">
        <w:rPr>
          <w:rFonts w:cs="Arial"/>
          <w:b w:val="0"/>
          <w:color w:val="auto"/>
          <w:spacing w:val="9"/>
          <w:sz w:val="24"/>
        </w:rPr>
        <w:t xml:space="preserve"> presenta los resultados de la Encuesta Mensual de la Industria Manufacturera (</w:t>
      </w:r>
      <w:r w:rsidR="00C507BC" w:rsidRPr="0044026C">
        <w:rPr>
          <w:rFonts w:cs="Arial"/>
          <w:b w:val="0"/>
          <w:smallCaps/>
          <w:color w:val="auto"/>
          <w:spacing w:val="9"/>
          <w:sz w:val="24"/>
        </w:rPr>
        <w:t>emim</w:t>
      </w:r>
      <w:r w:rsidRPr="0044026C">
        <w:rPr>
          <w:rFonts w:cs="Arial"/>
          <w:b w:val="0"/>
          <w:color w:val="auto"/>
          <w:spacing w:val="9"/>
          <w:sz w:val="24"/>
        </w:rPr>
        <w:t>)</w:t>
      </w:r>
      <w:r w:rsidR="00CE1B3A" w:rsidRPr="0044026C">
        <w:rPr>
          <w:rFonts w:cs="Arial"/>
          <w:b w:val="0"/>
          <w:color w:val="auto"/>
          <w:spacing w:val="9"/>
          <w:sz w:val="24"/>
        </w:rPr>
        <w:t xml:space="preserve"> para </w:t>
      </w:r>
      <w:r w:rsidRPr="0044026C">
        <w:rPr>
          <w:rFonts w:cs="Arial"/>
          <w:b w:val="0"/>
          <w:color w:val="auto"/>
          <w:spacing w:val="9"/>
          <w:sz w:val="24"/>
        </w:rPr>
        <w:t xml:space="preserve">dar a conocer </w:t>
      </w:r>
      <w:r w:rsidR="00EC5846" w:rsidRPr="0044026C">
        <w:rPr>
          <w:rFonts w:cs="Arial"/>
          <w:b w:val="0"/>
          <w:color w:val="auto"/>
          <w:spacing w:val="9"/>
          <w:sz w:val="24"/>
        </w:rPr>
        <w:t>el comportamiento</w:t>
      </w:r>
      <w:r w:rsidRPr="0044026C">
        <w:rPr>
          <w:rFonts w:cs="Arial"/>
          <w:b w:val="0"/>
          <w:color w:val="auto"/>
          <w:spacing w:val="9"/>
          <w:sz w:val="24"/>
        </w:rPr>
        <w:t xml:space="preserve"> de las principales variables </w:t>
      </w:r>
      <w:r w:rsidR="00CD2A00" w:rsidRPr="0044026C">
        <w:rPr>
          <w:rFonts w:cs="Arial"/>
          <w:b w:val="0"/>
          <w:color w:val="auto"/>
          <w:spacing w:val="9"/>
          <w:sz w:val="24"/>
        </w:rPr>
        <w:t xml:space="preserve">asociadas al </w:t>
      </w:r>
      <w:r w:rsidR="0072226B" w:rsidRPr="0044026C">
        <w:rPr>
          <w:rFonts w:cs="Arial"/>
          <w:b w:val="0"/>
          <w:color w:val="auto"/>
          <w:spacing w:val="9"/>
          <w:sz w:val="24"/>
        </w:rPr>
        <w:t xml:space="preserve">empleo en </w:t>
      </w:r>
      <w:r w:rsidRPr="0044026C">
        <w:rPr>
          <w:rFonts w:cs="Arial"/>
          <w:b w:val="0"/>
          <w:color w:val="auto"/>
          <w:spacing w:val="9"/>
          <w:sz w:val="24"/>
        </w:rPr>
        <w:t>el sector manufacturero</w:t>
      </w:r>
      <w:r w:rsidR="006F08D7" w:rsidRPr="0044026C">
        <w:rPr>
          <w:rFonts w:cs="Arial"/>
          <w:b w:val="0"/>
          <w:color w:val="auto"/>
          <w:spacing w:val="9"/>
          <w:sz w:val="24"/>
        </w:rPr>
        <w:t>.</w:t>
      </w:r>
    </w:p>
    <w:p w14:paraId="5727A09A" w14:textId="7C7E13A5" w:rsidR="009E7BB5" w:rsidRDefault="535BEBC5" w:rsidP="0044026C">
      <w:pPr>
        <w:pStyle w:val="bulnot"/>
        <w:widowControl w:val="0"/>
        <w:tabs>
          <w:tab w:val="clear" w:pos="851"/>
        </w:tabs>
        <w:spacing w:before="240"/>
        <w:ind w:left="0" w:right="51" w:firstLine="0"/>
        <w:rPr>
          <w:rFonts w:cs="Arial"/>
          <w:b w:val="0"/>
          <w:color w:val="auto"/>
          <w:spacing w:val="9"/>
          <w:sz w:val="24"/>
        </w:rPr>
      </w:pPr>
      <w:r w:rsidRPr="0044026C">
        <w:rPr>
          <w:rFonts w:cs="Arial"/>
          <w:b w:val="0"/>
          <w:color w:val="auto"/>
          <w:spacing w:val="9"/>
          <w:sz w:val="24"/>
        </w:rPr>
        <w:t xml:space="preserve">En </w:t>
      </w:r>
      <w:r w:rsidR="005F3490" w:rsidRPr="0044026C">
        <w:rPr>
          <w:rFonts w:cs="Arial"/>
          <w:b w:val="0"/>
          <w:color w:val="auto"/>
          <w:spacing w:val="9"/>
          <w:sz w:val="24"/>
        </w:rPr>
        <w:t>febr</w:t>
      </w:r>
      <w:r w:rsidR="005F3B6E" w:rsidRPr="0044026C">
        <w:rPr>
          <w:rFonts w:cs="Arial"/>
          <w:b w:val="0"/>
          <w:color w:val="auto"/>
          <w:spacing w:val="9"/>
          <w:sz w:val="24"/>
        </w:rPr>
        <w:t>ero</w:t>
      </w:r>
      <w:r w:rsidR="207AF190" w:rsidRPr="0044026C">
        <w:rPr>
          <w:rFonts w:cs="Arial"/>
          <w:b w:val="0"/>
          <w:color w:val="auto"/>
          <w:spacing w:val="9"/>
          <w:sz w:val="24"/>
        </w:rPr>
        <w:t xml:space="preserve"> de </w:t>
      </w:r>
      <w:r w:rsidR="005F3490" w:rsidRPr="0044026C">
        <w:rPr>
          <w:rFonts w:cs="Arial"/>
          <w:b w:val="0"/>
          <w:color w:val="auto"/>
          <w:spacing w:val="9"/>
          <w:sz w:val="24"/>
        </w:rPr>
        <w:t>2024</w:t>
      </w:r>
      <w:r w:rsidR="207AF190" w:rsidRPr="0044026C">
        <w:rPr>
          <w:rFonts w:cs="Arial"/>
          <w:b w:val="0"/>
          <w:color w:val="auto"/>
          <w:spacing w:val="9"/>
          <w:sz w:val="24"/>
        </w:rPr>
        <w:t xml:space="preserve"> y con datos ajustados por estacionalidad</w:t>
      </w:r>
      <w:r w:rsidR="00D03351" w:rsidRPr="0044026C">
        <w:rPr>
          <w:rFonts w:cs="Arial"/>
          <w:b w:val="0"/>
          <w:color w:val="auto"/>
          <w:spacing w:val="9"/>
          <w:sz w:val="24"/>
        </w:rPr>
        <w:t>,</w:t>
      </w:r>
      <w:r w:rsidR="000F2594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4B1D4A" w:rsidRPr="0044026C">
        <w:rPr>
          <w:rFonts w:cs="Arial"/>
          <w:b w:val="0"/>
          <w:color w:val="auto"/>
          <w:spacing w:val="9"/>
          <w:sz w:val="24"/>
        </w:rPr>
        <w:t xml:space="preserve">el personal ocupado total del sector manufacturero </w:t>
      </w:r>
      <w:r w:rsidR="00C34DE5" w:rsidRPr="0044026C">
        <w:rPr>
          <w:rFonts w:cs="Arial"/>
          <w:b w:val="0"/>
          <w:color w:val="auto"/>
          <w:spacing w:val="9"/>
          <w:sz w:val="24"/>
        </w:rPr>
        <w:t>disminuyó 0.</w:t>
      </w:r>
      <w:r w:rsidR="005A396E" w:rsidRPr="0044026C">
        <w:rPr>
          <w:rFonts w:cs="Arial"/>
          <w:b w:val="0"/>
          <w:color w:val="auto"/>
          <w:spacing w:val="9"/>
          <w:sz w:val="24"/>
        </w:rPr>
        <w:t>2</w:t>
      </w:r>
      <w:r w:rsidR="00EC522D" w:rsidRPr="0044026C">
        <w:rPr>
          <w:rFonts w:cs="Arial"/>
          <w:b w:val="0"/>
          <w:color w:val="auto"/>
          <w:spacing w:val="9"/>
          <w:sz w:val="24"/>
        </w:rPr>
        <w:t> </w:t>
      </w:r>
      <w:r w:rsidR="00781B1E" w:rsidRPr="0044026C">
        <w:rPr>
          <w:rFonts w:cs="Arial"/>
          <w:b w:val="0"/>
          <w:color w:val="auto"/>
          <w:spacing w:val="9"/>
          <w:sz w:val="24"/>
        </w:rPr>
        <w:t>% a tasa mensual.</w:t>
      </w:r>
      <w:r w:rsidR="005A396E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781B1E" w:rsidRPr="0044026C">
        <w:rPr>
          <w:rFonts w:cs="Arial"/>
          <w:b w:val="0"/>
          <w:color w:val="auto"/>
          <w:spacing w:val="9"/>
          <w:sz w:val="24"/>
        </w:rPr>
        <w:t>L</w:t>
      </w:r>
      <w:r w:rsidR="004B1D4A" w:rsidRPr="0044026C">
        <w:rPr>
          <w:rFonts w:cs="Arial"/>
          <w:b w:val="0"/>
          <w:color w:val="auto"/>
          <w:spacing w:val="9"/>
          <w:sz w:val="24"/>
        </w:rPr>
        <w:t>as horas trabajadas</w:t>
      </w:r>
      <w:r w:rsidR="000A23A9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781B1E" w:rsidRPr="0044026C">
        <w:rPr>
          <w:rFonts w:cs="Arial"/>
          <w:b w:val="0"/>
          <w:color w:val="auto"/>
          <w:spacing w:val="9"/>
          <w:sz w:val="24"/>
        </w:rPr>
        <w:t>a</w:t>
      </w:r>
      <w:r w:rsidR="005A396E" w:rsidRPr="0044026C">
        <w:rPr>
          <w:rFonts w:cs="Arial"/>
          <w:b w:val="0"/>
          <w:color w:val="auto"/>
          <w:spacing w:val="9"/>
          <w:sz w:val="24"/>
        </w:rPr>
        <w:t>scendieron 0.</w:t>
      </w:r>
      <w:r w:rsidR="00781B1E" w:rsidRPr="0044026C">
        <w:rPr>
          <w:rFonts w:cs="Arial"/>
          <w:b w:val="0"/>
          <w:color w:val="auto"/>
          <w:spacing w:val="9"/>
          <w:sz w:val="24"/>
        </w:rPr>
        <w:t>4</w:t>
      </w:r>
      <w:r w:rsidR="00EC522D" w:rsidRPr="0044026C">
        <w:rPr>
          <w:rFonts w:cs="Arial"/>
          <w:b w:val="0"/>
          <w:color w:val="auto"/>
          <w:spacing w:val="9"/>
          <w:sz w:val="24"/>
        </w:rPr>
        <w:t> %</w:t>
      </w:r>
      <w:r w:rsidR="005A396E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1B0326" w:rsidRPr="0044026C">
        <w:rPr>
          <w:rFonts w:cs="Arial"/>
          <w:b w:val="0"/>
          <w:color w:val="auto"/>
          <w:spacing w:val="9"/>
          <w:sz w:val="24"/>
        </w:rPr>
        <w:t xml:space="preserve">y </w:t>
      </w:r>
      <w:r w:rsidR="002373F0" w:rsidRPr="0044026C">
        <w:rPr>
          <w:rFonts w:cs="Arial"/>
          <w:b w:val="0"/>
          <w:color w:val="auto"/>
          <w:spacing w:val="9"/>
          <w:sz w:val="24"/>
        </w:rPr>
        <w:t>l</w:t>
      </w:r>
      <w:r w:rsidR="001B0326" w:rsidRPr="0044026C">
        <w:rPr>
          <w:rFonts w:cs="Arial"/>
          <w:b w:val="0"/>
          <w:color w:val="auto"/>
          <w:spacing w:val="9"/>
          <w:sz w:val="24"/>
        </w:rPr>
        <w:t>as remuneraciones medias reales pagadas (sueldos, salarios y prestaciones sociales)</w:t>
      </w:r>
      <w:r w:rsidR="005A396E" w:rsidRPr="0044026C">
        <w:rPr>
          <w:rFonts w:cs="Arial"/>
          <w:b w:val="0"/>
          <w:color w:val="auto"/>
          <w:spacing w:val="9"/>
          <w:sz w:val="24"/>
        </w:rPr>
        <w:t xml:space="preserve">, </w:t>
      </w:r>
      <w:r w:rsidR="00781B1E" w:rsidRPr="0044026C">
        <w:rPr>
          <w:rFonts w:cs="Arial"/>
          <w:b w:val="0"/>
          <w:color w:val="auto"/>
          <w:spacing w:val="9"/>
          <w:sz w:val="24"/>
        </w:rPr>
        <w:t>uno por ciento</w:t>
      </w:r>
      <w:r w:rsidR="005A396E" w:rsidRPr="0044026C">
        <w:rPr>
          <w:rFonts w:cs="Arial"/>
          <w:b w:val="0"/>
          <w:color w:val="auto"/>
          <w:spacing w:val="9"/>
          <w:sz w:val="24"/>
        </w:rPr>
        <w:t>.</w:t>
      </w:r>
      <w:r w:rsidR="00AD25CA" w:rsidRPr="0044026C">
        <w:rPr>
          <w:rFonts w:cs="Arial"/>
          <w:b w:val="0"/>
          <w:color w:val="auto"/>
          <w:spacing w:val="9"/>
          <w:sz w:val="24"/>
        </w:rPr>
        <w:t xml:space="preserve"> </w:t>
      </w:r>
    </w:p>
    <w:p w14:paraId="3113208F" w14:textId="77777777" w:rsidR="0044026C" w:rsidRDefault="0044026C" w:rsidP="0044026C">
      <w:pPr>
        <w:pStyle w:val="bulnot"/>
        <w:widowControl w:val="0"/>
        <w:tabs>
          <w:tab w:val="clear" w:pos="851"/>
        </w:tabs>
        <w:spacing w:before="240"/>
        <w:ind w:left="0" w:right="51" w:firstLine="0"/>
        <w:rPr>
          <w:rFonts w:cs="Arial"/>
          <w:b w:val="0"/>
          <w:color w:val="auto"/>
          <w:spacing w:val="9"/>
          <w:sz w:val="24"/>
        </w:rPr>
      </w:pPr>
    </w:p>
    <w:p w14:paraId="705C6EB2" w14:textId="69DA8695" w:rsidR="0044026C" w:rsidRPr="00F11EF5" w:rsidRDefault="0044026C" w:rsidP="0044026C">
      <w:pPr>
        <w:pStyle w:val="p0"/>
        <w:keepLines w:val="0"/>
        <w:spacing w:before="0"/>
        <w:ind w:hanging="11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F11EF5">
        <w:rPr>
          <w:rFonts w:ascii="Arial" w:hAnsi="Arial"/>
          <w:b/>
          <w:smallCaps/>
          <w:color w:val="auto"/>
          <w:sz w:val="22"/>
          <w:szCs w:val="22"/>
        </w:rPr>
        <w:t xml:space="preserve">serie desestacionalizada y de tendencia-ciclo </w:t>
      </w:r>
      <w:r w:rsidRPr="00F11EF5">
        <w:rPr>
          <w:rFonts w:ascii="Arial" w:hAnsi="Arial"/>
          <w:b/>
          <w:smallCaps/>
          <w:color w:val="auto"/>
          <w:sz w:val="22"/>
          <w:szCs w:val="22"/>
        </w:rPr>
        <w:br/>
        <w:t>del personal ocupado total</w:t>
      </w:r>
    </w:p>
    <w:p w14:paraId="250F84AC" w14:textId="77777777" w:rsidR="0044026C" w:rsidRPr="00F11EF5" w:rsidRDefault="0044026C" w:rsidP="0044026C">
      <w:pPr>
        <w:pStyle w:val="p0"/>
        <w:keepLines w:val="0"/>
        <w:spacing w:before="0"/>
        <w:ind w:hanging="11"/>
        <w:jc w:val="center"/>
        <w:rPr>
          <w:rFonts w:ascii="Arial" w:hAnsi="Arial"/>
          <w:bCs/>
          <w:color w:val="auto"/>
          <w:sz w:val="20"/>
          <w:szCs w:val="20"/>
        </w:rPr>
      </w:pPr>
      <w:r w:rsidRPr="00F11EF5">
        <w:rPr>
          <w:rFonts w:ascii="Arial" w:hAnsi="Arial"/>
          <w:bCs/>
          <w:color w:val="auto"/>
          <w:sz w:val="20"/>
          <w:szCs w:val="20"/>
        </w:rPr>
        <w:t>a febrero de 2024</w:t>
      </w:r>
    </w:p>
    <w:p w14:paraId="5F618470" w14:textId="77777777" w:rsidR="0044026C" w:rsidRPr="00F11EF5" w:rsidRDefault="0044026C" w:rsidP="0044026C">
      <w:pPr>
        <w:pStyle w:val="p0"/>
        <w:keepLines w:val="0"/>
        <w:spacing w:before="0"/>
        <w:ind w:hanging="11"/>
        <w:jc w:val="center"/>
        <w:rPr>
          <w:rFonts w:ascii="Arial" w:hAnsi="Arial"/>
          <w:color w:val="auto"/>
          <w:sz w:val="18"/>
        </w:rPr>
      </w:pPr>
      <w:r w:rsidRPr="00F11EF5">
        <w:rPr>
          <w:rFonts w:ascii="Arial" w:hAnsi="Arial"/>
          <w:color w:val="auto"/>
          <w:sz w:val="18"/>
        </w:rPr>
        <w:t>(índice 2018=100)</w:t>
      </w:r>
    </w:p>
    <w:p w14:paraId="3B22A13E" w14:textId="77777777" w:rsidR="0044026C" w:rsidRPr="00F11EF5" w:rsidRDefault="0044026C" w:rsidP="0044026C">
      <w:pPr>
        <w:widowControl w:val="0"/>
        <w:jc w:val="center"/>
        <w:rPr>
          <w:sz w:val="18"/>
          <w:szCs w:val="18"/>
        </w:rPr>
      </w:pPr>
      <w:r w:rsidRPr="00F11EF5">
        <w:rPr>
          <w:noProof/>
        </w:rPr>
        <w:drawing>
          <wp:inline distT="0" distB="0" distL="0" distR="0" wp14:anchorId="582C8E3C" wp14:editId="4059713C">
            <wp:extent cx="5400000" cy="2880000"/>
            <wp:effectExtent l="0" t="0" r="29845" b="34925"/>
            <wp:docPr id="135297199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909839" w14:textId="77777777" w:rsidR="0044026C" w:rsidRPr="00F11EF5" w:rsidRDefault="0044026C" w:rsidP="0044026C">
      <w:pPr>
        <w:pStyle w:val="p0"/>
        <w:keepLines w:val="0"/>
        <w:spacing w:before="0"/>
        <w:ind w:left="1456" w:right="805" w:hanging="605"/>
        <w:rPr>
          <w:rFonts w:ascii="Arial" w:hAnsi="Arial"/>
          <w:color w:val="auto"/>
          <w:sz w:val="16"/>
        </w:rPr>
      </w:pPr>
      <w:r w:rsidRPr="00F11EF5">
        <w:rPr>
          <w:rFonts w:ascii="Arial" w:hAnsi="Arial"/>
          <w:color w:val="auto"/>
          <w:sz w:val="16"/>
        </w:rPr>
        <w:t>Fuente:</w:t>
      </w:r>
      <w:r w:rsidRPr="00F11EF5">
        <w:rPr>
          <w:rFonts w:ascii="Arial" w:hAnsi="Arial"/>
          <w:color w:val="auto"/>
          <w:sz w:val="16"/>
        </w:rPr>
        <w:tab/>
      </w:r>
      <w:r w:rsidRPr="00F11EF5">
        <w:rPr>
          <w:rFonts w:ascii="Arial" w:hAnsi="Arial"/>
          <w:smallCaps/>
          <w:color w:val="auto"/>
          <w:sz w:val="16"/>
        </w:rPr>
        <w:t>inegi</w:t>
      </w:r>
      <w:r w:rsidRPr="00F11EF5">
        <w:rPr>
          <w:rFonts w:ascii="Arial" w:hAnsi="Arial"/>
          <w:color w:val="auto"/>
          <w:sz w:val="16"/>
        </w:rPr>
        <w:t xml:space="preserve">. </w:t>
      </w:r>
      <w:r w:rsidRPr="00F11EF5">
        <w:rPr>
          <w:rFonts w:ascii="Arial" w:hAnsi="Arial"/>
          <w:smallCaps/>
          <w:color w:val="auto"/>
          <w:sz w:val="16"/>
        </w:rPr>
        <w:t>emim</w:t>
      </w:r>
      <w:r w:rsidRPr="00F11EF5">
        <w:rPr>
          <w:rFonts w:ascii="Arial" w:hAnsi="Arial"/>
          <w:color w:val="auto"/>
          <w:sz w:val="16"/>
          <w:szCs w:val="16"/>
        </w:rPr>
        <w:t>.</w:t>
      </w:r>
      <w:r w:rsidRPr="00F11EF5">
        <w:rPr>
          <w:rFonts w:ascii="Arial" w:hAnsi="Arial"/>
          <w:b/>
          <w:color w:val="auto"/>
          <w:sz w:val="16"/>
          <w:szCs w:val="16"/>
        </w:rPr>
        <w:t xml:space="preserve"> </w:t>
      </w:r>
      <w:r w:rsidRPr="00F11EF5">
        <w:rPr>
          <w:rFonts w:ascii="Arial" w:hAnsi="Arial"/>
          <w:color w:val="auto"/>
          <w:sz w:val="16"/>
        </w:rPr>
        <w:t>Series elaboradas mediante métodos econométricos, 2024.</w:t>
      </w:r>
    </w:p>
    <w:p w14:paraId="5C12C4A5" w14:textId="5221396A" w:rsidR="008969B9" w:rsidRDefault="002F671D" w:rsidP="0044026C">
      <w:pPr>
        <w:pStyle w:val="bulnot"/>
        <w:widowControl w:val="0"/>
        <w:tabs>
          <w:tab w:val="clear" w:pos="851"/>
        </w:tabs>
        <w:spacing w:before="240"/>
        <w:ind w:left="0" w:right="51" w:firstLine="0"/>
        <w:rPr>
          <w:rFonts w:cs="Arial"/>
          <w:b w:val="0"/>
          <w:color w:val="auto"/>
          <w:spacing w:val="9"/>
          <w:sz w:val="24"/>
        </w:rPr>
      </w:pPr>
      <w:r w:rsidRPr="0044026C">
        <w:rPr>
          <w:rFonts w:cs="Arial"/>
          <w:b w:val="0"/>
          <w:color w:val="auto"/>
          <w:spacing w:val="9"/>
          <w:sz w:val="24"/>
        </w:rPr>
        <w:t xml:space="preserve">En </w:t>
      </w:r>
      <w:r w:rsidR="00B479DB" w:rsidRPr="0044026C">
        <w:rPr>
          <w:rFonts w:cs="Arial"/>
          <w:b w:val="0"/>
          <w:color w:val="auto"/>
          <w:spacing w:val="9"/>
          <w:sz w:val="24"/>
        </w:rPr>
        <w:t>el mes de referencia</w:t>
      </w:r>
      <w:r w:rsidRPr="0044026C">
        <w:rPr>
          <w:rFonts w:cs="Arial"/>
          <w:b w:val="0"/>
          <w:color w:val="auto"/>
          <w:spacing w:val="9"/>
          <w:sz w:val="24"/>
        </w:rPr>
        <w:t>, a</w:t>
      </w:r>
      <w:r w:rsidR="00BB4CD2" w:rsidRPr="0044026C">
        <w:rPr>
          <w:rFonts w:cs="Arial"/>
          <w:b w:val="0"/>
          <w:color w:val="auto"/>
          <w:spacing w:val="9"/>
          <w:sz w:val="24"/>
        </w:rPr>
        <w:t xml:space="preserve"> tasa</w:t>
      </w:r>
      <w:r w:rsidR="00A943DC" w:rsidRPr="0044026C">
        <w:rPr>
          <w:rFonts w:cs="Arial"/>
          <w:b w:val="0"/>
          <w:color w:val="auto"/>
          <w:spacing w:val="9"/>
          <w:sz w:val="24"/>
        </w:rPr>
        <w:t xml:space="preserve"> anual</w:t>
      </w:r>
      <w:r w:rsidR="00F32848" w:rsidRPr="0044026C">
        <w:rPr>
          <w:rFonts w:cs="Arial"/>
          <w:b w:val="0"/>
          <w:color w:val="auto"/>
          <w:spacing w:val="9"/>
          <w:sz w:val="24"/>
        </w:rPr>
        <w:t xml:space="preserve"> y con cifras</w:t>
      </w:r>
      <w:r w:rsidR="005F5190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F32848" w:rsidRPr="0044026C">
        <w:rPr>
          <w:rFonts w:cs="Arial"/>
          <w:b w:val="0"/>
          <w:color w:val="auto"/>
          <w:spacing w:val="9"/>
          <w:sz w:val="24"/>
        </w:rPr>
        <w:t>ajustadas por estacionalidad</w:t>
      </w:r>
      <w:r w:rsidR="00095006" w:rsidRPr="0044026C">
        <w:rPr>
          <w:rFonts w:cs="Arial"/>
          <w:b w:val="0"/>
          <w:color w:val="auto"/>
          <w:spacing w:val="9"/>
          <w:sz w:val="24"/>
        </w:rPr>
        <w:t xml:space="preserve">, </w:t>
      </w:r>
      <w:r w:rsidR="008C1C13" w:rsidRPr="0044026C">
        <w:rPr>
          <w:rFonts w:cs="Arial"/>
          <w:b w:val="0"/>
          <w:color w:val="auto"/>
          <w:spacing w:val="9"/>
          <w:sz w:val="24"/>
        </w:rPr>
        <w:t xml:space="preserve">el personal ocupado total </w:t>
      </w:r>
      <w:r w:rsidR="00781B1E" w:rsidRPr="0044026C">
        <w:rPr>
          <w:rFonts w:cs="Arial"/>
          <w:b w:val="0"/>
          <w:color w:val="auto"/>
          <w:spacing w:val="9"/>
          <w:sz w:val="24"/>
        </w:rPr>
        <w:t>descend</w:t>
      </w:r>
      <w:r w:rsidR="008C1C13" w:rsidRPr="0044026C">
        <w:rPr>
          <w:rFonts w:cs="Arial"/>
          <w:b w:val="0"/>
          <w:color w:val="auto"/>
          <w:spacing w:val="9"/>
          <w:sz w:val="24"/>
        </w:rPr>
        <w:t xml:space="preserve">ió </w:t>
      </w:r>
      <w:r w:rsidR="000A23A9" w:rsidRPr="0044026C">
        <w:rPr>
          <w:rFonts w:cs="Arial"/>
          <w:b w:val="0"/>
          <w:color w:val="auto"/>
          <w:spacing w:val="9"/>
          <w:sz w:val="24"/>
        </w:rPr>
        <w:t>1.</w:t>
      </w:r>
      <w:r w:rsidR="00781B1E" w:rsidRPr="0044026C">
        <w:rPr>
          <w:rFonts w:cs="Arial"/>
          <w:b w:val="0"/>
          <w:color w:val="auto"/>
          <w:spacing w:val="9"/>
          <w:sz w:val="24"/>
        </w:rPr>
        <w:t>5</w:t>
      </w:r>
      <w:r w:rsidR="00EC522D" w:rsidRPr="0044026C">
        <w:rPr>
          <w:rFonts w:cs="Arial"/>
          <w:b w:val="0"/>
          <w:color w:val="auto"/>
          <w:spacing w:val="9"/>
          <w:sz w:val="24"/>
        </w:rPr>
        <w:t> %</w:t>
      </w:r>
      <w:r w:rsidR="00202899" w:rsidRPr="0044026C">
        <w:rPr>
          <w:rFonts w:cs="Arial"/>
          <w:b w:val="0"/>
          <w:color w:val="auto"/>
          <w:spacing w:val="9"/>
          <w:sz w:val="24"/>
        </w:rPr>
        <w:t xml:space="preserve"> y las</w:t>
      </w:r>
      <w:r w:rsidR="008C1C13" w:rsidRPr="0044026C">
        <w:rPr>
          <w:rFonts w:cs="Arial"/>
          <w:b w:val="0"/>
          <w:color w:val="auto"/>
          <w:spacing w:val="9"/>
          <w:sz w:val="24"/>
        </w:rPr>
        <w:t xml:space="preserve"> horas trabajadas</w:t>
      </w:r>
      <w:r w:rsidR="00D11207" w:rsidRPr="0044026C">
        <w:rPr>
          <w:rFonts w:cs="Arial"/>
          <w:b w:val="0"/>
          <w:color w:val="auto"/>
          <w:spacing w:val="9"/>
          <w:sz w:val="24"/>
        </w:rPr>
        <w:t xml:space="preserve">, </w:t>
      </w:r>
      <w:r w:rsidR="00781B1E" w:rsidRPr="0044026C">
        <w:rPr>
          <w:rFonts w:cs="Arial"/>
          <w:b w:val="0"/>
          <w:color w:val="auto"/>
          <w:spacing w:val="9"/>
          <w:sz w:val="24"/>
        </w:rPr>
        <w:t>1.7</w:t>
      </w:r>
      <w:r w:rsidR="009874EE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435116" w:rsidRPr="0044026C">
        <w:rPr>
          <w:rFonts w:cs="Arial"/>
          <w:b w:val="0"/>
          <w:color w:val="auto"/>
          <w:spacing w:val="9"/>
          <w:sz w:val="24"/>
        </w:rPr>
        <w:t>por</w:t>
      </w:r>
      <w:r w:rsidR="009874EE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435116" w:rsidRPr="0044026C">
        <w:rPr>
          <w:rFonts w:cs="Arial"/>
          <w:b w:val="0"/>
          <w:color w:val="auto"/>
          <w:spacing w:val="9"/>
          <w:sz w:val="24"/>
        </w:rPr>
        <w:t>ciento</w:t>
      </w:r>
      <w:r w:rsidR="00202899" w:rsidRPr="0044026C">
        <w:rPr>
          <w:rFonts w:cs="Arial"/>
          <w:b w:val="0"/>
          <w:color w:val="auto"/>
          <w:spacing w:val="9"/>
          <w:sz w:val="24"/>
        </w:rPr>
        <w:t>.</w:t>
      </w:r>
      <w:r w:rsidR="008C1C13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202899" w:rsidRPr="0044026C">
        <w:rPr>
          <w:rFonts w:cs="Arial"/>
          <w:b w:val="0"/>
          <w:color w:val="auto"/>
          <w:spacing w:val="9"/>
          <w:sz w:val="24"/>
        </w:rPr>
        <w:t>L</w:t>
      </w:r>
      <w:r w:rsidR="008C1C13" w:rsidRPr="0044026C">
        <w:rPr>
          <w:rFonts w:cs="Arial"/>
          <w:b w:val="0"/>
          <w:color w:val="auto"/>
          <w:spacing w:val="9"/>
          <w:sz w:val="24"/>
        </w:rPr>
        <w:t xml:space="preserve">as </w:t>
      </w:r>
      <w:r w:rsidR="00CD451C" w:rsidRPr="0044026C">
        <w:rPr>
          <w:rFonts w:cs="Arial"/>
          <w:b w:val="0"/>
          <w:color w:val="auto"/>
          <w:spacing w:val="9"/>
          <w:sz w:val="24"/>
        </w:rPr>
        <w:t>remuneraciones medias reales</w:t>
      </w:r>
      <w:r w:rsidR="00202899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0A23A9" w:rsidRPr="0044026C">
        <w:rPr>
          <w:rFonts w:cs="Arial"/>
          <w:b w:val="0"/>
          <w:color w:val="auto"/>
          <w:spacing w:val="9"/>
          <w:sz w:val="24"/>
        </w:rPr>
        <w:t>crecie</w:t>
      </w:r>
      <w:r w:rsidR="00202899" w:rsidRPr="0044026C">
        <w:rPr>
          <w:rFonts w:cs="Arial"/>
          <w:b w:val="0"/>
          <w:color w:val="auto"/>
          <w:spacing w:val="9"/>
          <w:sz w:val="24"/>
        </w:rPr>
        <w:t>ron</w:t>
      </w:r>
      <w:r w:rsidR="00CD451C" w:rsidRPr="0044026C">
        <w:rPr>
          <w:rFonts w:cs="Arial"/>
          <w:b w:val="0"/>
          <w:color w:val="auto"/>
          <w:spacing w:val="9"/>
          <w:sz w:val="24"/>
        </w:rPr>
        <w:t xml:space="preserve"> </w:t>
      </w:r>
      <w:r w:rsidR="00781B1E" w:rsidRPr="0044026C">
        <w:rPr>
          <w:rFonts w:cs="Arial"/>
          <w:b w:val="0"/>
          <w:color w:val="auto"/>
          <w:spacing w:val="9"/>
          <w:sz w:val="24"/>
        </w:rPr>
        <w:t>4.9</w:t>
      </w:r>
      <w:r w:rsidR="00F16AAC" w:rsidRPr="0044026C">
        <w:rPr>
          <w:rFonts w:cs="Arial"/>
          <w:b w:val="0"/>
          <w:color w:val="auto"/>
          <w:spacing w:val="9"/>
          <w:sz w:val="24"/>
        </w:rPr>
        <w:t> </w:t>
      </w:r>
      <w:r w:rsidR="00435116" w:rsidRPr="0044026C">
        <w:rPr>
          <w:rFonts w:cs="Arial"/>
          <w:b w:val="0"/>
          <w:color w:val="auto"/>
          <w:spacing w:val="9"/>
          <w:sz w:val="24"/>
        </w:rPr>
        <w:t>por ciento</w:t>
      </w:r>
      <w:r w:rsidR="00D525FB" w:rsidRPr="0044026C">
        <w:rPr>
          <w:rFonts w:cs="Arial"/>
          <w:b w:val="0"/>
          <w:color w:val="auto"/>
          <w:spacing w:val="9"/>
          <w:sz w:val="24"/>
        </w:rPr>
        <w:t>.</w:t>
      </w:r>
    </w:p>
    <w:p w14:paraId="1B9E70EE" w14:textId="77777777" w:rsidR="0044026C" w:rsidRDefault="0044026C" w:rsidP="0044026C">
      <w:pPr>
        <w:pStyle w:val="bulnot"/>
        <w:widowControl w:val="0"/>
        <w:tabs>
          <w:tab w:val="clear" w:pos="851"/>
        </w:tabs>
        <w:spacing w:before="240"/>
        <w:ind w:left="0" w:right="51" w:firstLine="0"/>
        <w:rPr>
          <w:rFonts w:cs="Arial"/>
          <w:b w:val="0"/>
          <w:color w:val="auto"/>
          <w:spacing w:val="9"/>
          <w:sz w:val="24"/>
        </w:rPr>
      </w:pPr>
    </w:p>
    <w:p w14:paraId="63CE6907" w14:textId="77777777" w:rsidR="0044026C" w:rsidRDefault="0044026C" w:rsidP="0044026C">
      <w:pPr>
        <w:pStyle w:val="bulnot"/>
        <w:widowControl w:val="0"/>
        <w:tabs>
          <w:tab w:val="clear" w:pos="851"/>
        </w:tabs>
        <w:spacing w:before="240"/>
        <w:ind w:left="0" w:right="51" w:firstLine="0"/>
        <w:rPr>
          <w:rFonts w:cs="Arial"/>
          <w:b w:val="0"/>
          <w:color w:val="auto"/>
          <w:spacing w:val="9"/>
          <w:sz w:val="24"/>
        </w:rPr>
      </w:pPr>
    </w:p>
    <w:p w14:paraId="7D5E128C" w14:textId="77777777" w:rsidR="0044026C" w:rsidRPr="00F11EF5" w:rsidRDefault="0044026C" w:rsidP="0044026C">
      <w:pPr>
        <w:pStyle w:val="Ttulo4"/>
        <w:keepNext w:val="0"/>
        <w:keepLines w:val="0"/>
        <w:widowControl w:val="0"/>
        <w:spacing w:before="0"/>
        <w:jc w:val="center"/>
        <w:rPr>
          <w:rFonts w:ascii="Arial" w:eastAsia="Times New Roman" w:hAnsi="Arial" w:cs="Arial"/>
          <w:b/>
          <w:i w:val="0"/>
          <w:iCs w:val="0"/>
          <w:smallCaps/>
          <w:snapToGrid w:val="0"/>
          <w:color w:val="auto"/>
          <w:sz w:val="22"/>
          <w:szCs w:val="22"/>
          <w:lang w:val="es-MX"/>
        </w:rPr>
      </w:pPr>
      <w:r w:rsidRPr="00F11EF5">
        <w:rPr>
          <w:rFonts w:ascii="Arial" w:eastAsia="Times New Roman" w:hAnsi="Arial" w:cs="Arial"/>
          <w:b/>
          <w:i w:val="0"/>
          <w:iCs w:val="0"/>
          <w:smallCaps/>
          <w:snapToGrid w:val="0"/>
          <w:color w:val="auto"/>
          <w:sz w:val="22"/>
          <w:szCs w:val="22"/>
          <w:lang w:val="es-MX"/>
        </w:rPr>
        <w:t>variación de los indicadores del sector manufacturero</w:t>
      </w:r>
    </w:p>
    <w:p w14:paraId="1CFA8A89" w14:textId="77777777" w:rsidR="0044026C" w:rsidRPr="00F11EF5" w:rsidRDefault="0044026C" w:rsidP="0044026C">
      <w:pPr>
        <w:pStyle w:val="Ttulo4"/>
        <w:keepNext w:val="0"/>
        <w:keepLines w:val="0"/>
        <w:widowControl w:val="0"/>
        <w:spacing w:before="0"/>
        <w:jc w:val="center"/>
        <w:rPr>
          <w:rFonts w:ascii="Arial" w:eastAsia="Times New Roman" w:hAnsi="Arial" w:cs="Arial"/>
          <w:b/>
          <w:i w:val="0"/>
          <w:iCs w:val="0"/>
          <w:smallCaps/>
          <w:snapToGrid w:val="0"/>
          <w:color w:val="auto"/>
          <w:sz w:val="20"/>
          <w:szCs w:val="20"/>
          <w:lang w:val="es-MX"/>
        </w:rPr>
      </w:pPr>
      <w:r w:rsidRPr="00F11EF5">
        <w:rPr>
          <w:rFonts w:ascii="Arial" w:eastAsia="Times New Roman" w:hAnsi="Arial" w:cs="Arial"/>
          <w:b/>
          <w:i w:val="0"/>
          <w:iCs w:val="0"/>
          <w:smallCaps/>
          <w:snapToGrid w:val="0"/>
          <w:color w:val="auto"/>
          <w:sz w:val="20"/>
          <w:szCs w:val="20"/>
          <w:lang w:val="es-MX"/>
        </w:rPr>
        <w:t>cifras desestacionalizadas</w:t>
      </w:r>
    </w:p>
    <w:p w14:paraId="52A15F0B" w14:textId="77777777" w:rsidR="0044026C" w:rsidRPr="00F11EF5" w:rsidRDefault="0044026C" w:rsidP="0044026C">
      <w:pPr>
        <w:pStyle w:val="Ttulo4"/>
        <w:keepNext w:val="0"/>
        <w:keepLines w:val="0"/>
        <w:widowControl w:val="0"/>
        <w:spacing w:before="0"/>
        <w:jc w:val="center"/>
        <w:rPr>
          <w:rFonts w:ascii="Arial" w:eastAsia="Times New Roman" w:hAnsi="Arial" w:cs="Arial"/>
          <w:bCs/>
          <w:i w:val="0"/>
          <w:iCs w:val="0"/>
          <w:snapToGrid w:val="0"/>
          <w:color w:val="auto"/>
          <w:sz w:val="20"/>
          <w:szCs w:val="20"/>
          <w:lang w:val="es-MX"/>
        </w:rPr>
      </w:pPr>
      <w:r w:rsidRPr="00F11EF5">
        <w:rPr>
          <w:rFonts w:ascii="Arial" w:eastAsia="Times New Roman" w:hAnsi="Arial" w:cs="Arial"/>
          <w:bCs/>
          <w:i w:val="0"/>
          <w:iCs w:val="0"/>
          <w:snapToGrid w:val="0"/>
          <w:color w:val="auto"/>
          <w:sz w:val="20"/>
          <w:szCs w:val="20"/>
          <w:lang w:val="es-MX"/>
        </w:rPr>
        <w:t>febrero de 2024</w:t>
      </w:r>
    </w:p>
    <w:p w14:paraId="13C80875" w14:textId="77777777" w:rsidR="0044026C" w:rsidRPr="00F11EF5" w:rsidRDefault="0044026C" w:rsidP="0044026C">
      <w:pPr>
        <w:jc w:val="center"/>
        <w:rPr>
          <w:bCs/>
          <w:sz w:val="18"/>
          <w:szCs w:val="18"/>
          <w:lang w:val="es-MX"/>
        </w:rPr>
      </w:pPr>
      <w:r w:rsidRPr="00F11EF5">
        <w:rPr>
          <w:bCs/>
          <w:snapToGrid w:val="0"/>
          <w:sz w:val="18"/>
          <w:szCs w:val="18"/>
          <w:lang w:val="es-MX"/>
        </w:rPr>
        <w:t>(variación porcentual mensual y anual)</w:t>
      </w:r>
    </w:p>
    <w:tbl>
      <w:tblPr>
        <w:tblStyle w:val="Tablaconcuadrcula"/>
        <w:tblW w:w="0" w:type="auto"/>
        <w:jc w:val="center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235"/>
        <w:gridCol w:w="1513"/>
        <w:gridCol w:w="1513"/>
      </w:tblGrid>
      <w:tr w:rsidR="0044026C" w:rsidRPr="00F11EF5" w14:paraId="5109F8FD" w14:textId="77777777" w:rsidTr="005A1D55">
        <w:trPr>
          <w:trHeight w:val="340"/>
          <w:jc w:val="center"/>
        </w:trPr>
        <w:tc>
          <w:tcPr>
            <w:tcW w:w="5235" w:type="dxa"/>
            <w:vMerge w:val="restart"/>
            <w:tcBorders>
              <w:top w:val="single" w:sz="8" w:space="0" w:color="1F497D" w:themeColor="text2"/>
              <w:left w:val="single" w:sz="8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 w:themeFill="text2" w:themeFillTint="33"/>
            <w:vAlign w:val="center"/>
          </w:tcPr>
          <w:p w14:paraId="7BF933B6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444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Indicadores</w:t>
            </w:r>
          </w:p>
        </w:tc>
        <w:tc>
          <w:tcPr>
            <w:tcW w:w="3026" w:type="dxa"/>
            <w:gridSpan w:val="2"/>
            <w:tcBorders>
              <w:top w:val="single" w:sz="8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8" w:space="0" w:color="1F497D" w:themeColor="text2"/>
            </w:tcBorders>
            <w:shd w:val="clear" w:color="auto" w:fill="C6D9F1" w:themeFill="text2" w:themeFillTint="33"/>
            <w:vAlign w:val="center"/>
          </w:tcPr>
          <w:p w14:paraId="2241CAB3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0" w:right="0" w:firstLine="0"/>
              <w:jc w:val="center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Variación porcentual respecto a:</w:t>
            </w:r>
          </w:p>
        </w:tc>
      </w:tr>
      <w:tr w:rsidR="0044026C" w:rsidRPr="00F11EF5" w14:paraId="60D01C31" w14:textId="77777777" w:rsidTr="005A1D55">
        <w:trPr>
          <w:trHeight w:val="480"/>
          <w:jc w:val="center"/>
        </w:trPr>
        <w:tc>
          <w:tcPr>
            <w:tcW w:w="5235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14:paraId="06A1D216" w14:textId="77777777" w:rsidR="0044026C" w:rsidRPr="00F11EF5" w:rsidRDefault="0044026C" w:rsidP="005A1D55">
            <w:pPr>
              <w:pStyle w:val="bulnot"/>
              <w:widowControl w:val="0"/>
              <w:spacing w:before="0"/>
              <w:ind w:left="0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 w:themeFill="text2" w:themeFillTint="33"/>
            <w:vAlign w:val="center"/>
          </w:tcPr>
          <w:p w14:paraId="0905571C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40" w:after="40"/>
              <w:ind w:left="0" w:right="0" w:firstLine="0"/>
              <w:jc w:val="center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 xml:space="preserve">enero </w:t>
            </w:r>
            <w:r w:rsidRPr="00F11EF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br/>
              <w:t>de 2024</w:t>
            </w:r>
          </w:p>
        </w:tc>
        <w:tc>
          <w:tcPr>
            <w:tcW w:w="1513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8" w:space="0" w:color="1F497D" w:themeColor="text2"/>
            </w:tcBorders>
            <w:shd w:val="clear" w:color="auto" w:fill="C6D9F1" w:themeFill="text2" w:themeFillTint="33"/>
            <w:vAlign w:val="center"/>
          </w:tcPr>
          <w:p w14:paraId="2CEB7ABB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0" w:right="0" w:firstLine="0"/>
              <w:jc w:val="center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 xml:space="preserve">febrero </w:t>
            </w:r>
            <w:r w:rsidRPr="00F11EF5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br/>
              <w:t>de 2023</w:t>
            </w:r>
          </w:p>
        </w:tc>
      </w:tr>
      <w:tr w:rsidR="0044026C" w:rsidRPr="00F11EF5" w14:paraId="25215114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6" w:space="0" w:color="1F497D" w:themeColor="text2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2AD66FD9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57" w:right="0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color w:val="auto"/>
                <w:spacing w:val="0"/>
                <w:sz w:val="18"/>
                <w:szCs w:val="18"/>
              </w:rPr>
              <w:t>Personal ocupado total</w:t>
            </w:r>
          </w:p>
        </w:tc>
        <w:tc>
          <w:tcPr>
            <w:tcW w:w="1513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DBE5F1" w:themeFill="accent1" w:themeFillTint="33"/>
            <w:vAlign w:val="center"/>
          </w:tcPr>
          <w:p w14:paraId="7F8DAED2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b/>
                <w:bCs/>
                <w:sz w:val="18"/>
                <w:szCs w:val="18"/>
                <w:highlight w:val="yellow"/>
                <w:lang w:val="es-MX" w:eastAsia="es-MX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513" w:type="dxa"/>
            <w:tcBorders>
              <w:top w:val="single" w:sz="6" w:space="0" w:color="1F497D" w:themeColor="text2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DBE5F1" w:themeFill="accent1" w:themeFillTint="33"/>
            <w:vAlign w:val="center"/>
          </w:tcPr>
          <w:p w14:paraId="7978AA11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-1.5</w:t>
            </w:r>
          </w:p>
        </w:tc>
      </w:tr>
      <w:tr w:rsidR="0044026C" w:rsidRPr="00F11EF5" w14:paraId="5D98EC73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0A302C55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113" w:right="0" w:firstLine="0"/>
              <w:jc w:val="left"/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  <w:t>Dependiente de la razón social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752177F7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20043CB0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-0.8</w:t>
            </w:r>
          </w:p>
        </w:tc>
      </w:tr>
      <w:tr w:rsidR="0044026C" w:rsidRPr="00F11EF5" w14:paraId="1F98BC72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4EB3E0AD" w14:textId="77777777" w:rsidR="0044026C" w:rsidRPr="00F11EF5" w:rsidRDefault="0044026C" w:rsidP="005A1D55">
            <w:pPr>
              <w:pStyle w:val="p0"/>
              <w:keepLines w:val="0"/>
              <w:spacing w:before="0"/>
              <w:ind w:left="227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F11EF5">
              <w:rPr>
                <w:rFonts w:ascii="Arial" w:hAnsi="Arial"/>
                <w:color w:val="auto"/>
                <w:sz w:val="18"/>
                <w:szCs w:val="18"/>
              </w:rPr>
              <w:t>Obreros y técnicos en producción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65BF3213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72F0EBF3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color w:val="000000"/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-1.1</w:t>
            </w:r>
          </w:p>
        </w:tc>
      </w:tr>
      <w:tr w:rsidR="0044026C" w:rsidRPr="00F11EF5" w14:paraId="5BFB371D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41821BEF" w14:textId="77777777" w:rsidR="0044026C" w:rsidRPr="00F11EF5" w:rsidRDefault="0044026C" w:rsidP="005A1D55">
            <w:pPr>
              <w:pStyle w:val="p0"/>
              <w:keepLines w:val="0"/>
              <w:spacing w:before="0"/>
              <w:ind w:left="227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F11EF5">
              <w:rPr>
                <w:rFonts w:ascii="Arial" w:hAnsi="Arial"/>
                <w:color w:val="auto"/>
                <w:sz w:val="18"/>
                <w:szCs w:val="18"/>
              </w:rPr>
              <w:t>Empleados administrativos, contables y de dirección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37767458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color w:val="000000"/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565A299C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color w:val="000000"/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0.7</w:t>
            </w:r>
          </w:p>
        </w:tc>
      </w:tr>
      <w:tr w:rsidR="0044026C" w:rsidRPr="00F11EF5" w14:paraId="63CFBEE1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4F7E2D86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113" w:right="0" w:firstLine="0"/>
              <w:jc w:val="left"/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  <w:vertAlign w:val="superscript"/>
              </w:rPr>
            </w:pPr>
            <w:r w:rsidRPr="00F11EF5"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  <w:t>No dependiente de la razón social</w:t>
            </w:r>
            <w:r w:rsidRPr="00F11EF5"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  <w:vertAlign w:val="superscript"/>
              </w:rPr>
              <w:t>1/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36A54D4A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7E92E107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-31.8</w:t>
            </w:r>
          </w:p>
        </w:tc>
      </w:tr>
      <w:tr w:rsidR="0044026C" w:rsidRPr="00F11EF5" w14:paraId="7C028087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33DAA8F6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57" w:right="0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color w:val="auto"/>
                <w:spacing w:val="0"/>
                <w:sz w:val="18"/>
                <w:szCs w:val="18"/>
              </w:rPr>
              <w:t>Horas trabajadas por el personal ocupado total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DBE5F1" w:themeFill="accent1" w:themeFillTint="33"/>
            <w:vAlign w:val="center"/>
          </w:tcPr>
          <w:p w14:paraId="6690BC6F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DBE5F1" w:themeFill="accent1" w:themeFillTint="33"/>
            <w:vAlign w:val="center"/>
          </w:tcPr>
          <w:p w14:paraId="5999CAB6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-1.7</w:t>
            </w:r>
          </w:p>
        </w:tc>
      </w:tr>
      <w:tr w:rsidR="0044026C" w:rsidRPr="00F11EF5" w14:paraId="0220689A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0709C823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113" w:right="0" w:firstLine="0"/>
              <w:jc w:val="left"/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  <w:t>Dependiente de la razón social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1D4F9B64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12091968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-1.3</w:t>
            </w:r>
          </w:p>
        </w:tc>
      </w:tr>
      <w:tr w:rsidR="0044026C" w:rsidRPr="00F11EF5" w14:paraId="121461E1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305989CD" w14:textId="77777777" w:rsidR="0044026C" w:rsidRPr="00F11EF5" w:rsidRDefault="0044026C" w:rsidP="005A1D55">
            <w:pPr>
              <w:pStyle w:val="p0"/>
              <w:keepLines w:val="0"/>
              <w:spacing w:before="0"/>
              <w:ind w:left="227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F11EF5">
              <w:rPr>
                <w:rFonts w:ascii="Arial" w:hAnsi="Arial"/>
                <w:color w:val="auto"/>
                <w:sz w:val="18"/>
                <w:szCs w:val="18"/>
              </w:rPr>
              <w:t>Obreros y técnicos en producción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76085D9B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39FBF5E0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color w:val="000000"/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-1.5</w:t>
            </w:r>
          </w:p>
        </w:tc>
      </w:tr>
      <w:tr w:rsidR="0044026C" w:rsidRPr="00F11EF5" w14:paraId="5236AFD4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32FB9D80" w14:textId="77777777" w:rsidR="0044026C" w:rsidRPr="00F11EF5" w:rsidRDefault="0044026C" w:rsidP="005A1D55">
            <w:pPr>
              <w:pStyle w:val="p0"/>
              <w:keepLines w:val="0"/>
              <w:spacing w:before="0"/>
              <w:ind w:left="227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F11EF5">
              <w:rPr>
                <w:rFonts w:ascii="Arial" w:hAnsi="Arial"/>
                <w:color w:val="auto"/>
                <w:sz w:val="18"/>
                <w:szCs w:val="18"/>
              </w:rPr>
              <w:t>Empleados administrativos, contables y de dirección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79D60A25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sz w:val="18"/>
                <w:szCs w:val="18"/>
              </w:rPr>
              <w:t>0.2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235014B2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color w:val="000000"/>
                <w:sz w:val="18"/>
                <w:szCs w:val="18"/>
                <w:highlight w:val="yellow"/>
              </w:rPr>
            </w:pPr>
            <w:r w:rsidRPr="00F11EF5">
              <w:rPr>
                <w:sz w:val="18"/>
                <w:szCs w:val="18"/>
              </w:rPr>
              <w:t>0.4</w:t>
            </w:r>
          </w:p>
        </w:tc>
      </w:tr>
      <w:tr w:rsidR="0044026C" w:rsidRPr="00F11EF5" w14:paraId="3B7E09A7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17043694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113" w:right="0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  <w:t>No dependiente de la razón social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17AE8816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sz w:val="18"/>
                <w:szCs w:val="18"/>
              </w:rPr>
              <w:t>7.6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1DA76FF0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sz w:val="18"/>
                <w:szCs w:val="18"/>
              </w:rPr>
              <w:t>-25.8</w:t>
            </w:r>
          </w:p>
        </w:tc>
      </w:tr>
      <w:tr w:rsidR="0044026C" w:rsidRPr="00F11EF5" w14:paraId="02094767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6D451FBC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57" w:right="0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color w:val="auto"/>
                <w:spacing w:val="0"/>
                <w:sz w:val="18"/>
                <w:szCs w:val="18"/>
              </w:rPr>
              <w:t>Remuneraciones medias reales pagadas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DBE5F1" w:themeFill="accent1" w:themeFillTint="33"/>
            <w:vAlign w:val="center"/>
          </w:tcPr>
          <w:p w14:paraId="0FDF67DC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DBE5F1" w:themeFill="accent1" w:themeFillTint="33"/>
            <w:vAlign w:val="center"/>
          </w:tcPr>
          <w:p w14:paraId="08A02071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4.9</w:t>
            </w:r>
          </w:p>
        </w:tc>
      </w:tr>
      <w:tr w:rsidR="0044026C" w:rsidRPr="00F11EF5" w14:paraId="72511731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3904DE4F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113" w:right="0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  <w:t>A dependientes de la razón social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0AD156C5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1BFA746C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5.1</w:t>
            </w:r>
          </w:p>
        </w:tc>
      </w:tr>
      <w:tr w:rsidR="0044026C" w:rsidRPr="00F11EF5" w14:paraId="5EB3EC3E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2BF3A957" w14:textId="77777777" w:rsidR="0044026C" w:rsidRPr="00F11EF5" w:rsidRDefault="0044026C" w:rsidP="005A1D55">
            <w:pPr>
              <w:pStyle w:val="p0"/>
              <w:keepLines w:val="0"/>
              <w:spacing w:before="0"/>
              <w:ind w:left="227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F11EF5">
              <w:rPr>
                <w:rFonts w:ascii="Arial" w:hAnsi="Arial"/>
                <w:color w:val="auto"/>
                <w:sz w:val="18"/>
                <w:szCs w:val="18"/>
              </w:rPr>
              <w:t>Salarios pagados a obreros y técnicos en producción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3DB42FDE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449D3981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5.0</w:t>
            </w:r>
          </w:p>
        </w:tc>
      </w:tr>
      <w:tr w:rsidR="0044026C" w:rsidRPr="00F11EF5" w14:paraId="75EE88B7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377AF352" w14:textId="77777777" w:rsidR="0044026C" w:rsidRPr="00F11EF5" w:rsidRDefault="0044026C" w:rsidP="005A1D55">
            <w:pPr>
              <w:pStyle w:val="p0"/>
              <w:keepLines w:val="0"/>
              <w:spacing w:before="0"/>
              <w:ind w:left="227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F11EF5">
              <w:rPr>
                <w:rFonts w:ascii="Arial" w:hAnsi="Arial"/>
                <w:color w:val="auto"/>
                <w:sz w:val="18"/>
                <w:szCs w:val="18"/>
              </w:rPr>
              <w:t>Sueldos pagados a empleados administrativos, contables y de dirección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02D560BE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4EED053B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1.9</w:t>
            </w:r>
          </w:p>
        </w:tc>
      </w:tr>
      <w:tr w:rsidR="0044026C" w:rsidRPr="00F11EF5" w14:paraId="7709C5B8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5AFFD4FB" w14:textId="77777777" w:rsidR="0044026C" w:rsidRPr="00F11EF5" w:rsidRDefault="0044026C" w:rsidP="005A1D55">
            <w:pPr>
              <w:pStyle w:val="p0"/>
              <w:keepLines w:val="0"/>
              <w:spacing w:before="0"/>
              <w:ind w:left="227"/>
              <w:jc w:val="left"/>
              <w:rPr>
                <w:rFonts w:ascii="Arial" w:hAnsi="Arial"/>
                <w:color w:val="auto"/>
                <w:sz w:val="18"/>
                <w:szCs w:val="18"/>
              </w:rPr>
            </w:pPr>
            <w:r w:rsidRPr="00F11EF5">
              <w:rPr>
                <w:rFonts w:ascii="Arial" w:hAnsi="Arial"/>
                <w:color w:val="auto"/>
                <w:sz w:val="18"/>
                <w:szCs w:val="18"/>
              </w:rPr>
              <w:t>Prestaciones sociales, contribuciones y utilidades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14:paraId="239A8ECE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7B6544B5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sz w:val="18"/>
                <w:szCs w:val="18"/>
                <w:highlight w:val="yellow"/>
              </w:rPr>
            </w:pPr>
            <w:r w:rsidRPr="00F11EF5">
              <w:rPr>
                <w:color w:val="000000"/>
                <w:sz w:val="18"/>
                <w:szCs w:val="18"/>
              </w:rPr>
              <w:t>7.2</w:t>
            </w:r>
          </w:p>
        </w:tc>
      </w:tr>
      <w:tr w:rsidR="0044026C" w:rsidRPr="00F11EF5" w14:paraId="3AF4CEB4" w14:textId="77777777" w:rsidTr="005A1D55">
        <w:trPr>
          <w:trHeight w:val="280"/>
          <w:jc w:val="center"/>
        </w:trPr>
        <w:tc>
          <w:tcPr>
            <w:tcW w:w="5235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8" w:space="0" w:color="1F497D" w:themeColor="text2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4CF30852" w14:textId="77777777" w:rsidR="0044026C" w:rsidRPr="00F11EF5" w:rsidRDefault="0044026C" w:rsidP="005A1D55">
            <w:pPr>
              <w:pStyle w:val="bulnot"/>
              <w:widowControl w:val="0"/>
              <w:tabs>
                <w:tab w:val="clear" w:pos="851"/>
              </w:tabs>
              <w:spacing w:before="0"/>
              <w:ind w:left="113" w:right="0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F11EF5">
              <w:rPr>
                <w:rFonts w:cs="Arial"/>
                <w:b w:val="0"/>
                <w:bCs/>
                <w:color w:val="auto"/>
                <w:spacing w:val="0"/>
                <w:sz w:val="18"/>
                <w:szCs w:val="18"/>
              </w:rPr>
              <w:t>A no dependientes de la razón social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8" w:space="0" w:color="1F497D" w:themeColor="text2"/>
              <w:right w:val="nil"/>
            </w:tcBorders>
            <w:shd w:val="clear" w:color="auto" w:fill="auto"/>
            <w:vAlign w:val="center"/>
          </w:tcPr>
          <w:p w14:paraId="229321F5" w14:textId="77777777" w:rsidR="0044026C" w:rsidRPr="00F11EF5" w:rsidRDefault="0044026C" w:rsidP="005A1D55">
            <w:pPr>
              <w:tabs>
                <w:tab w:val="decimal" w:pos="59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513" w:type="dxa"/>
            <w:tcBorders>
              <w:top w:val="single" w:sz="4" w:space="0" w:color="C6D9F1" w:themeColor="text2" w:themeTint="33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018A8AA0" w14:textId="77777777" w:rsidR="0044026C" w:rsidRPr="00F11EF5" w:rsidRDefault="0044026C" w:rsidP="005A1D55">
            <w:pPr>
              <w:tabs>
                <w:tab w:val="decimal" w:pos="605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-6.4</w:t>
            </w:r>
          </w:p>
        </w:tc>
      </w:tr>
    </w:tbl>
    <w:p w14:paraId="5CAA9A2B" w14:textId="77777777" w:rsidR="0044026C" w:rsidRPr="00F11EF5" w:rsidRDefault="0044026C" w:rsidP="0044026C">
      <w:pPr>
        <w:pStyle w:val="bulnot"/>
        <w:widowControl w:val="0"/>
        <w:tabs>
          <w:tab w:val="clear" w:pos="851"/>
        </w:tabs>
        <w:spacing w:before="0"/>
        <w:ind w:left="1582" w:right="902" w:hanging="589"/>
        <w:rPr>
          <w:rFonts w:cs="Arial"/>
          <w:b w:val="0"/>
          <w:color w:val="000000" w:themeColor="text1"/>
          <w:spacing w:val="0"/>
          <w:sz w:val="16"/>
          <w:szCs w:val="16"/>
        </w:rPr>
      </w:pPr>
      <w:r w:rsidRPr="00F11EF5">
        <w:rPr>
          <w:rFonts w:cs="Arial"/>
          <w:b w:val="0"/>
          <w:color w:val="000000" w:themeColor="text1"/>
          <w:spacing w:val="0"/>
          <w:sz w:val="16"/>
          <w:szCs w:val="16"/>
        </w:rPr>
        <w:t>Nota:</w:t>
      </w:r>
      <w:r w:rsidRPr="00F11EF5">
        <w:rPr>
          <w:rFonts w:cs="Arial"/>
          <w:b w:val="0"/>
          <w:color w:val="000000" w:themeColor="text1"/>
          <w:spacing w:val="0"/>
          <w:sz w:val="16"/>
        </w:rPr>
        <w:tab/>
      </w:r>
      <w:r w:rsidRPr="00F11EF5">
        <w:rPr>
          <w:rFonts w:cs="Arial"/>
          <w:b w:val="0"/>
          <w:color w:val="000000" w:themeColor="text1"/>
          <w:spacing w:val="0"/>
          <w:sz w:val="16"/>
          <w:szCs w:val="16"/>
        </w:rPr>
        <w:t>La serie desestacionalizada de cada uno de los totales se calcula de manera independiente a la de sus componentes.</w:t>
      </w:r>
    </w:p>
    <w:p w14:paraId="17E95391" w14:textId="77777777" w:rsidR="0044026C" w:rsidRPr="00F11EF5" w:rsidRDefault="0044026C" w:rsidP="0044026C">
      <w:pPr>
        <w:pStyle w:val="bulnot"/>
        <w:widowControl w:val="0"/>
        <w:tabs>
          <w:tab w:val="clear" w:pos="851"/>
        </w:tabs>
        <w:spacing w:before="0"/>
        <w:ind w:left="1582" w:right="902" w:hanging="589"/>
        <w:rPr>
          <w:rFonts w:cs="Arial"/>
          <w:b w:val="0"/>
          <w:color w:val="000000" w:themeColor="text1"/>
          <w:spacing w:val="0"/>
          <w:sz w:val="16"/>
          <w:szCs w:val="16"/>
        </w:rPr>
      </w:pPr>
      <w:r w:rsidRPr="00F11EF5">
        <w:rPr>
          <w:rFonts w:cs="Arial"/>
          <w:b w:val="0"/>
          <w:color w:val="000000" w:themeColor="text1"/>
          <w:spacing w:val="0"/>
          <w:sz w:val="16"/>
          <w:szCs w:val="16"/>
          <w:vertAlign w:val="superscript"/>
        </w:rPr>
        <w:t>1/</w:t>
      </w:r>
      <w:r w:rsidRPr="00F11EF5">
        <w:rPr>
          <w:rFonts w:cs="Arial"/>
          <w:b w:val="0"/>
          <w:color w:val="000000" w:themeColor="text1"/>
          <w:spacing w:val="0"/>
          <w:sz w:val="16"/>
          <w:szCs w:val="16"/>
        </w:rPr>
        <w:tab/>
      </w:r>
      <w:r w:rsidRPr="00F11EF5">
        <w:rPr>
          <w:rFonts w:cs="Arial"/>
          <w:b w:val="0"/>
          <w:color w:val="auto"/>
          <w:spacing w:val="0"/>
          <w:sz w:val="16"/>
          <w:szCs w:val="16"/>
        </w:rPr>
        <w:t>Personal contratado y proporcionado por otra razón social y por honorarios o comisiones sin sueldo o salario fijo.</w:t>
      </w:r>
    </w:p>
    <w:p w14:paraId="6D37A363" w14:textId="601002D7" w:rsidR="0044026C" w:rsidRPr="00F11EF5" w:rsidRDefault="0044026C" w:rsidP="0044026C">
      <w:pPr>
        <w:pStyle w:val="bulnot"/>
        <w:widowControl w:val="0"/>
        <w:tabs>
          <w:tab w:val="clear" w:pos="851"/>
        </w:tabs>
        <w:spacing w:before="0"/>
        <w:ind w:left="1582" w:right="902" w:hanging="589"/>
        <w:rPr>
          <w:rFonts w:cs="Arial"/>
          <w:b w:val="0"/>
          <w:color w:val="auto"/>
          <w:spacing w:val="0"/>
          <w:sz w:val="16"/>
          <w:szCs w:val="16"/>
        </w:rPr>
      </w:pPr>
      <w:r w:rsidRPr="00F11EF5">
        <w:rPr>
          <w:rFonts w:cs="Arial"/>
          <w:b w:val="0"/>
          <w:color w:val="auto"/>
          <w:spacing w:val="0"/>
          <w:sz w:val="16"/>
          <w:szCs w:val="16"/>
        </w:rPr>
        <w:t>Fuente:</w:t>
      </w:r>
      <w:r w:rsidRPr="00F11EF5">
        <w:rPr>
          <w:rFonts w:cs="Arial"/>
          <w:b w:val="0"/>
          <w:color w:val="auto"/>
          <w:spacing w:val="0"/>
          <w:sz w:val="16"/>
          <w:szCs w:val="16"/>
        </w:rPr>
        <w:tab/>
      </w:r>
      <w:r w:rsidRPr="00F11EF5">
        <w:rPr>
          <w:rFonts w:cs="Arial"/>
          <w:b w:val="0"/>
          <w:smallCaps/>
          <w:color w:val="auto"/>
          <w:spacing w:val="0"/>
          <w:sz w:val="16"/>
          <w:szCs w:val="16"/>
        </w:rPr>
        <w:t>inegi</w:t>
      </w:r>
      <w:r w:rsidRPr="00F11EF5">
        <w:rPr>
          <w:rFonts w:cs="Arial"/>
          <w:b w:val="0"/>
          <w:color w:val="auto"/>
          <w:spacing w:val="0"/>
          <w:sz w:val="16"/>
          <w:szCs w:val="16"/>
        </w:rPr>
        <w:t xml:space="preserve">. </w:t>
      </w:r>
      <w:r w:rsidRPr="00F11EF5">
        <w:rPr>
          <w:rFonts w:cs="Arial"/>
          <w:b w:val="0"/>
          <w:bCs/>
          <w:smallCaps/>
          <w:color w:val="auto"/>
          <w:spacing w:val="0"/>
          <w:sz w:val="16"/>
        </w:rPr>
        <w:t>emim</w:t>
      </w:r>
      <w:r w:rsidRPr="00F11EF5">
        <w:rPr>
          <w:rFonts w:cs="Arial"/>
          <w:b w:val="0"/>
          <w:color w:val="auto"/>
          <w:spacing w:val="0"/>
          <w:sz w:val="16"/>
          <w:szCs w:val="16"/>
        </w:rPr>
        <w:t>. Cifras elaboradas mediante métodos econométricos, 2024.</w:t>
      </w:r>
    </w:p>
    <w:p w14:paraId="18F82839" w14:textId="77777777" w:rsidR="0044026C" w:rsidRDefault="0044026C" w:rsidP="0044026C">
      <w:pPr>
        <w:pStyle w:val="bulnot"/>
        <w:widowControl w:val="0"/>
        <w:tabs>
          <w:tab w:val="clear" w:pos="851"/>
        </w:tabs>
        <w:spacing w:before="240"/>
        <w:ind w:left="0" w:right="51" w:firstLine="0"/>
        <w:rPr>
          <w:rFonts w:cs="Arial"/>
          <w:b w:val="0"/>
          <w:color w:val="auto"/>
          <w:spacing w:val="9"/>
          <w:sz w:val="24"/>
        </w:rPr>
      </w:pPr>
    </w:p>
    <w:p w14:paraId="6AD537AC" w14:textId="77777777" w:rsidR="0044026C" w:rsidRDefault="0044026C" w:rsidP="0044026C">
      <w:pPr>
        <w:spacing w:before="360"/>
        <w:ind w:left="142" w:right="51"/>
        <w:jc w:val="center"/>
        <w:rPr>
          <w:bCs/>
          <w:snapToGrid w:val="0"/>
        </w:rPr>
      </w:pPr>
      <w:bookmarkStart w:id="1" w:name="_Hlk148955161"/>
      <w:r w:rsidRPr="00346B66">
        <w:rPr>
          <w:bCs/>
          <w:snapToGrid w:val="0"/>
        </w:rPr>
        <w:t>Se anexa Nota técnica</w:t>
      </w:r>
      <w:bookmarkEnd w:id="1"/>
    </w:p>
    <w:p w14:paraId="10C5BA46" w14:textId="77777777" w:rsidR="0044026C" w:rsidRPr="0044026C" w:rsidRDefault="0044026C" w:rsidP="0044026C">
      <w:pPr>
        <w:spacing w:before="360"/>
        <w:ind w:left="142" w:right="51"/>
        <w:jc w:val="center"/>
        <w:rPr>
          <w:bCs/>
          <w:snapToGrid w:val="0"/>
        </w:rPr>
      </w:pPr>
    </w:p>
    <w:p w14:paraId="0054067B" w14:textId="77777777" w:rsidR="0044026C" w:rsidRPr="0044026C" w:rsidRDefault="0044026C" w:rsidP="0044026C">
      <w:pPr>
        <w:pStyle w:val="NormalWeb"/>
        <w:ind w:left="-426" w:right="-518"/>
        <w:contextualSpacing/>
        <w:jc w:val="center"/>
        <w:rPr>
          <w:rFonts w:ascii="Arial" w:hAnsi="Arial" w:cs="Arial"/>
          <w:lang w:val="es-ES_tradnl"/>
        </w:rPr>
      </w:pPr>
      <w:bookmarkStart w:id="2" w:name="_Hlk147145049"/>
      <w:bookmarkStart w:id="3" w:name="_Hlk148018231"/>
      <w:bookmarkStart w:id="4" w:name="_Hlk148955175"/>
      <w:r w:rsidRPr="0044026C">
        <w:rPr>
          <w:rFonts w:ascii="Arial" w:hAnsi="Arial" w:cs="Arial"/>
          <w:lang w:val="es-ES_tradnl"/>
        </w:rPr>
        <w:t xml:space="preserve">Para consultas de medios y periodistas, escribir a: </w:t>
      </w:r>
      <w:hyperlink r:id="rId12" w:history="1">
        <w:r w:rsidRPr="0044026C">
          <w:rPr>
            <w:rStyle w:val="Hipervnculo"/>
            <w:rFonts w:ascii="Arial" w:eastAsiaTheme="majorEastAsia" w:hAnsi="Arial" w:cs="Arial"/>
          </w:rPr>
          <w:t>comunicacionsocial@inegi.org.mx</w:t>
        </w:r>
      </w:hyperlink>
      <w:r w:rsidRPr="0044026C">
        <w:rPr>
          <w:rFonts w:ascii="Arial" w:hAnsi="Arial" w:cs="Arial"/>
          <w:lang w:val="es-ES_tradnl"/>
        </w:rPr>
        <w:t xml:space="preserve">    </w:t>
      </w:r>
    </w:p>
    <w:p w14:paraId="32893B1B" w14:textId="77777777" w:rsidR="0044026C" w:rsidRPr="0044026C" w:rsidRDefault="0044026C" w:rsidP="0044026C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  <w:lang w:val="es-ES_tradnl"/>
        </w:rPr>
      </w:pPr>
      <w:r w:rsidRPr="0044026C">
        <w:rPr>
          <w:rFonts w:ascii="Arial" w:hAnsi="Arial" w:cs="Arial"/>
          <w:lang w:val="es-ES_tradnl"/>
        </w:rPr>
        <w:t>o llamar al teléfono (55) 52-78-10-00, extensiones 321064, 321134 y 321241.</w:t>
      </w:r>
    </w:p>
    <w:p w14:paraId="55AD4AE8" w14:textId="77777777" w:rsidR="0044026C" w:rsidRPr="0044026C" w:rsidRDefault="0044026C" w:rsidP="0044026C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</w:rPr>
      </w:pPr>
      <w:r w:rsidRPr="0044026C">
        <w:rPr>
          <w:rFonts w:ascii="Arial" w:hAnsi="Arial" w:cs="Arial"/>
        </w:rPr>
        <w:t>Dirección de Atención a Medios/ Dirección General Adjunta de Comunicación</w:t>
      </w:r>
    </w:p>
    <w:p w14:paraId="741F952C" w14:textId="77777777" w:rsidR="0044026C" w:rsidRPr="0044026C" w:rsidRDefault="0044026C" w:rsidP="0044026C">
      <w:pPr>
        <w:pStyle w:val="NormalWeb"/>
        <w:spacing w:before="0" w:beforeAutospacing="0" w:after="0" w:afterAutospacing="0"/>
        <w:ind w:left="-426" w:right="-518"/>
        <w:contextualSpacing/>
        <w:jc w:val="center"/>
        <w:rPr>
          <w:rFonts w:ascii="Arial" w:hAnsi="Arial" w:cs="Arial"/>
        </w:rPr>
      </w:pPr>
    </w:p>
    <w:p w14:paraId="7AAAB297" w14:textId="251B3D09" w:rsidR="0044026C" w:rsidRDefault="0044026C" w:rsidP="0044026C">
      <w:pPr>
        <w:pStyle w:val="Piedepgina"/>
        <w:jc w:val="center"/>
        <w:rPr>
          <w:noProof/>
          <w:lang w:eastAsia="es-MX"/>
        </w:rPr>
      </w:pPr>
      <w:r w:rsidRPr="0044026C">
        <w:rPr>
          <w:noProof/>
          <w:lang w:eastAsia="es-MX"/>
        </w:rPr>
        <w:drawing>
          <wp:inline distT="0" distB="0" distL="0" distR="0" wp14:anchorId="6336DD20" wp14:editId="27D31176">
            <wp:extent cx="372725" cy="360438"/>
            <wp:effectExtent l="0" t="0" r="0" b="0"/>
            <wp:docPr id="9" name="Imagen 9" descr="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5" cy="36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026C">
        <w:rPr>
          <w:noProof/>
          <w:lang w:eastAsia="es-MX"/>
        </w:rPr>
        <w:t xml:space="preserve"> </w:t>
      </w:r>
      <w:r w:rsidRPr="0044026C">
        <w:rPr>
          <w:noProof/>
          <w:lang w:eastAsia="es-MX"/>
        </w:rPr>
        <w:drawing>
          <wp:inline distT="0" distB="0" distL="0" distR="0" wp14:anchorId="5E808BF8" wp14:editId="395C5FC6">
            <wp:extent cx="365760" cy="365760"/>
            <wp:effectExtent l="0" t="0" r="2540" b="2540"/>
            <wp:docPr id="2" name="Imagen 2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26C">
        <w:rPr>
          <w:noProof/>
          <w:lang w:eastAsia="es-MX"/>
        </w:rPr>
        <w:t xml:space="preserve"> </w:t>
      </w:r>
      <w:r w:rsidRPr="0044026C">
        <w:rPr>
          <w:noProof/>
          <w:lang w:eastAsia="es-MX"/>
        </w:rPr>
        <w:drawing>
          <wp:inline distT="0" distB="0" distL="0" distR="0" wp14:anchorId="3AE073E3" wp14:editId="7E5260E6">
            <wp:extent cx="365760" cy="365760"/>
            <wp:effectExtent l="0" t="0" r="2540" b="2540"/>
            <wp:docPr id="4" name="Imagen 4" descr="Imagen que contiene objeto, reloj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objeto, reloj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26C">
        <w:rPr>
          <w:noProof/>
          <w:lang w:eastAsia="es-MX"/>
        </w:rPr>
        <w:t xml:space="preserve"> </w:t>
      </w:r>
      <w:r w:rsidRPr="0044026C">
        <w:rPr>
          <w:noProof/>
          <w:lang w:eastAsia="es-MX"/>
        </w:rPr>
        <w:drawing>
          <wp:inline distT="0" distB="0" distL="0" distR="0" wp14:anchorId="2DAFE1F0" wp14:editId="17965BF4">
            <wp:extent cx="365760" cy="365760"/>
            <wp:effectExtent l="0" t="0" r="2540" b="2540"/>
            <wp:docPr id="5" name="Imagen 5" descr="Logotipo&#10;&#10;Descripción generada automáticamen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26C">
        <w:rPr>
          <w:noProof/>
          <w:lang w:eastAsia="es-MX"/>
        </w:rPr>
        <w:t xml:space="preserve">  </w:t>
      </w:r>
      <w:r w:rsidRPr="0044026C">
        <w:rPr>
          <w:noProof/>
          <w:lang w:eastAsia="es-MX"/>
        </w:rPr>
        <w:drawing>
          <wp:inline distT="0" distB="0" distL="0" distR="0" wp14:anchorId="50EAC0E3" wp14:editId="6F5E8161">
            <wp:extent cx="1436914" cy="152592"/>
            <wp:effectExtent l="0" t="0" r="0" b="0"/>
            <wp:docPr id="33" name="Imagen 33" descr="Icono&#10;&#10;Descripción generada automáticament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56" cy="1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End w:id="3"/>
      <w:r>
        <w:rPr>
          <w:noProof/>
          <w:lang w:eastAsia="es-MX"/>
        </w:rPr>
        <w:br w:type="page"/>
      </w:r>
    </w:p>
    <w:p w14:paraId="13BE7E38" w14:textId="77777777" w:rsidR="0044026C" w:rsidRDefault="0044026C" w:rsidP="0044026C">
      <w:pPr>
        <w:spacing w:before="120"/>
        <w:ind w:left="-425" w:right="-516"/>
        <w:contextualSpacing/>
        <w:jc w:val="center"/>
        <w:rPr>
          <w:b/>
          <w:bCs/>
          <w:noProof/>
          <w:lang w:eastAsia="es-MX"/>
        </w:rPr>
      </w:pPr>
      <w:bookmarkStart w:id="5" w:name="_Hlk155602562"/>
      <w:r w:rsidRPr="008F42F6">
        <w:rPr>
          <w:b/>
          <w:bCs/>
          <w:noProof/>
          <w:lang w:eastAsia="es-MX"/>
        </w:rPr>
        <w:lastRenderedPageBreak/>
        <w:t>NOTA TÉCNICA</w:t>
      </w:r>
    </w:p>
    <w:bookmarkEnd w:id="5"/>
    <w:p w14:paraId="24F0741E" w14:textId="77777777" w:rsidR="0044026C" w:rsidRPr="0044026C" w:rsidRDefault="0044026C" w:rsidP="0044026C">
      <w:pPr>
        <w:pStyle w:val="Ttulo"/>
        <w:widowControl w:val="0"/>
        <w:spacing w:before="240"/>
        <w:rPr>
          <w:rFonts w:ascii="Arial Negrita" w:hAnsi="Arial Negrita" w:cs="Arial"/>
          <w:snapToGrid w:val="0"/>
          <w:szCs w:val="24"/>
          <w:lang w:val="es-MX"/>
        </w:rPr>
      </w:pPr>
      <w:r w:rsidRPr="0044026C">
        <w:rPr>
          <w:rFonts w:ascii="Arial Negrita" w:hAnsi="Arial Negrita" w:cs="Arial"/>
          <w:snapToGrid w:val="0"/>
          <w:szCs w:val="24"/>
          <w:lang w:val="es-MX"/>
        </w:rPr>
        <w:t>INDICADORES DEL SECTOR MANUFACTURERO</w:t>
      </w:r>
    </w:p>
    <w:p w14:paraId="37A36942" w14:textId="77777777" w:rsidR="0044026C" w:rsidRDefault="0044026C" w:rsidP="0044026C">
      <w:pPr>
        <w:pStyle w:val="Ttulo"/>
        <w:widowControl w:val="0"/>
        <w:spacing w:before="60"/>
        <w:rPr>
          <w:rFonts w:cs="Arial"/>
          <w:b w:val="0"/>
          <w:bCs/>
          <w:snapToGrid w:val="0"/>
          <w:szCs w:val="24"/>
          <w:lang w:val="es-MX"/>
        </w:rPr>
      </w:pPr>
      <w:r w:rsidRPr="00F11EF5">
        <w:rPr>
          <w:rFonts w:cs="Arial"/>
          <w:b w:val="0"/>
          <w:bCs/>
          <w:snapToGrid w:val="0"/>
          <w:szCs w:val="24"/>
          <w:lang w:val="es-MX"/>
        </w:rPr>
        <w:t>Febrero de 2024</w:t>
      </w:r>
    </w:p>
    <w:p w14:paraId="0D4497B0" w14:textId="77777777" w:rsidR="0044026C" w:rsidRPr="0044026C" w:rsidRDefault="0044026C" w:rsidP="0044026C">
      <w:pPr>
        <w:pStyle w:val="Ttulo"/>
        <w:widowControl w:val="0"/>
        <w:spacing w:before="60"/>
        <w:rPr>
          <w:rFonts w:cs="Arial"/>
          <w:b w:val="0"/>
          <w:bCs/>
          <w:caps/>
          <w:snapToGrid w:val="0"/>
          <w:sz w:val="16"/>
          <w:szCs w:val="16"/>
          <w:lang w:val="es-MX"/>
        </w:rPr>
      </w:pPr>
    </w:p>
    <w:bookmarkEnd w:id="4"/>
    <w:p w14:paraId="0C7D9BB4" w14:textId="2A859C06" w:rsidR="00A66849" w:rsidRPr="00F11EF5" w:rsidRDefault="000E10EE" w:rsidP="0044026C">
      <w:pPr>
        <w:pStyle w:val="bulnot"/>
        <w:widowControl w:val="0"/>
        <w:spacing w:before="120"/>
        <w:ind w:left="0" w:right="0" w:firstLine="0"/>
        <w:rPr>
          <w:rFonts w:cs="Arial"/>
          <w:b w:val="0"/>
          <w:bCs/>
          <w:color w:val="auto"/>
          <w:spacing w:val="0"/>
          <w:sz w:val="24"/>
          <w:szCs w:val="24"/>
        </w:rPr>
      </w:pPr>
      <w:r w:rsidRPr="00F11EF5">
        <w:rPr>
          <w:rFonts w:cs="Arial"/>
          <w:b w:val="0"/>
          <w:bCs/>
          <w:color w:val="auto"/>
          <w:spacing w:val="0"/>
          <w:sz w:val="24"/>
          <w:szCs w:val="24"/>
        </w:rPr>
        <w:t>L</w:t>
      </w:r>
      <w:r w:rsidR="00B41F28" w:rsidRPr="00F11EF5">
        <w:rPr>
          <w:rFonts w:cs="Arial"/>
          <w:b w:val="0"/>
          <w:bCs/>
          <w:color w:val="auto"/>
          <w:spacing w:val="0"/>
          <w:sz w:val="24"/>
          <w:szCs w:val="24"/>
        </w:rPr>
        <w:t>a Encuesta Mensual de la Industria Manufacturera (</w:t>
      </w:r>
      <w:r w:rsidR="006F08D7" w:rsidRPr="00F11EF5">
        <w:rPr>
          <w:rFonts w:cs="Arial"/>
          <w:b w:val="0"/>
          <w:bCs/>
          <w:smallCaps/>
          <w:color w:val="auto"/>
          <w:spacing w:val="0"/>
          <w:sz w:val="24"/>
          <w:szCs w:val="24"/>
        </w:rPr>
        <w:t>emim</w:t>
      </w:r>
      <w:r w:rsidR="00B41F28" w:rsidRPr="00F11EF5">
        <w:rPr>
          <w:rFonts w:cs="Arial"/>
          <w:b w:val="0"/>
          <w:bCs/>
          <w:color w:val="auto"/>
          <w:spacing w:val="0"/>
          <w:sz w:val="24"/>
          <w:szCs w:val="24"/>
        </w:rPr>
        <w:t>)</w:t>
      </w:r>
      <w:r w:rsidR="00FE1BD4" w:rsidRPr="00F11EF5">
        <w:rPr>
          <w:rFonts w:cs="Arial"/>
          <w:b w:val="0"/>
          <w:bCs/>
          <w:color w:val="auto"/>
          <w:spacing w:val="0"/>
          <w:sz w:val="24"/>
          <w:szCs w:val="24"/>
        </w:rPr>
        <w:t>,</w:t>
      </w:r>
      <w:r w:rsidR="00B41F28" w:rsidRPr="00F11EF5">
        <w:rPr>
          <w:rFonts w:cs="Arial"/>
          <w:b w:val="0"/>
          <w:bCs/>
          <w:color w:val="auto"/>
          <w:spacing w:val="0"/>
          <w:sz w:val="24"/>
          <w:szCs w:val="24"/>
        </w:rPr>
        <w:t xml:space="preserve"> que lleva a cabo el Instituto Nacional de Estadística y Geografía (</w:t>
      </w:r>
      <w:r w:rsidR="006F08D7" w:rsidRPr="00F11EF5">
        <w:rPr>
          <w:rFonts w:cs="Arial"/>
          <w:b w:val="0"/>
          <w:bCs/>
          <w:smallCaps/>
          <w:color w:val="auto"/>
          <w:spacing w:val="0"/>
          <w:sz w:val="24"/>
          <w:szCs w:val="24"/>
        </w:rPr>
        <w:t>inegi</w:t>
      </w:r>
      <w:r w:rsidR="00B41F28" w:rsidRPr="00F11EF5">
        <w:rPr>
          <w:rFonts w:cs="Arial"/>
          <w:b w:val="0"/>
          <w:bCs/>
          <w:color w:val="auto"/>
          <w:spacing w:val="0"/>
          <w:sz w:val="24"/>
          <w:szCs w:val="24"/>
        </w:rPr>
        <w:t>)</w:t>
      </w:r>
      <w:r w:rsidR="00FE1BD4" w:rsidRPr="00F11EF5">
        <w:rPr>
          <w:rFonts w:cs="Arial"/>
          <w:b w:val="0"/>
          <w:bCs/>
          <w:color w:val="auto"/>
          <w:spacing w:val="0"/>
          <w:sz w:val="24"/>
          <w:szCs w:val="24"/>
        </w:rPr>
        <w:t>,</w:t>
      </w:r>
      <w:r w:rsidR="00B41F28" w:rsidRPr="00F11EF5">
        <w:rPr>
          <w:rFonts w:cs="Arial"/>
          <w:b w:val="0"/>
          <w:bCs/>
          <w:color w:val="auto"/>
          <w:spacing w:val="0"/>
          <w:sz w:val="24"/>
          <w:szCs w:val="24"/>
        </w:rPr>
        <w:t xml:space="preserve"> </w:t>
      </w:r>
      <w:r w:rsidRPr="00F11EF5">
        <w:rPr>
          <w:rFonts w:cs="Arial"/>
          <w:b w:val="0"/>
          <w:bCs/>
          <w:color w:val="auto"/>
          <w:spacing w:val="0"/>
          <w:sz w:val="24"/>
          <w:szCs w:val="24"/>
        </w:rPr>
        <w:t xml:space="preserve">proporciona información relevante para conocer la tendencia de coyuntura de las principales variables </w:t>
      </w:r>
      <w:r w:rsidR="00890966" w:rsidRPr="00F11EF5">
        <w:rPr>
          <w:rFonts w:cs="Arial"/>
          <w:b w:val="0"/>
          <w:bCs/>
          <w:color w:val="auto"/>
          <w:spacing w:val="0"/>
          <w:sz w:val="24"/>
          <w:szCs w:val="24"/>
        </w:rPr>
        <w:t xml:space="preserve">asociadas al empleo en </w:t>
      </w:r>
      <w:r w:rsidRPr="00F11EF5">
        <w:rPr>
          <w:rFonts w:cs="Arial"/>
          <w:b w:val="0"/>
          <w:bCs/>
          <w:color w:val="auto"/>
          <w:spacing w:val="0"/>
          <w:sz w:val="24"/>
          <w:szCs w:val="24"/>
        </w:rPr>
        <w:t>el sector manufacturero en México.</w:t>
      </w:r>
    </w:p>
    <w:p w14:paraId="774F4722" w14:textId="351FD21E" w:rsidR="00870848" w:rsidRPr="00F11EF5" w:rsidRDefault="005F3B6E" w:rsidP="003158C1">
      <w:pPr>
        <w:pStyle w:val="bulnot"/>
        <w:widowControl w:val="0"/>
        <w:numPr>
          <w:ilvl w:val="0"/>
          <w:numId w:val="22"/>
        </w:numPr>
        <w:ind w:left="0" w:right="0" w:firstLine="0"/>
        <w:jc w:val="center"/>
        <w:rPr>
          <w:rFonts w:cs="Arial"/>
          <w:b w:val="0"/>
          <w:i/>
          <w:color w:val="auto"/>
        </w:rPr>
      </w:pPr>
      <w:r w:rsidRPr="00F11EF5">
        <w:rPr>
          <w:rFonts w:cs="Arial"/>
          <w:bCs/>
          <w:iCs/>
          <w:smallCaps/>
          <w:color w:val="auto"/>
          <w:spacing w:val="0"/>
          <w:sz w:val="24"/>
          <w:szCs w:val="24"/>
        </w:rPr>
        <w:t>cifras desestacionalizadas</w:t>
      </w:r>
      <w:r w:rsidR="0075747A" w:rsidRPr="00F11EF5">
        <w:rPr>
          <w:rFonts w:cs="Arial"/>
          <w:color w:val="auto"/>
          <w:spacing w:val="9"/>
          <w:sz w:val="24"/>
          <w:szCs w:val="24"/>
          <w:vertAlign w:val="superscript"/>
        </w:rPr>
        <w:footnoteReference w:id="2"/>
      </w:r>
    </w:p>
    <w:p w14:paraId="25CA20D2" w14:textId="48EEDBD7" w:rsidR="00095006" w:rsidRPr="00F11EF5" w:rsidRDefault="00095006" w:rsidP="006F08D7">
      <w:pPr>
        <w:pStyle w:val="bulnot"/>
        <w:widowControl w:val="0"/>
        <w:ind w:left="567" w:right="567" w:firstLine="0"/>
        <w:rPr>
          <w:rFonts w:cs="Arial"/>
          <w:b w:val="0"/>
          <w:color w:val="auto"/>
          <w:sz w:val="24"/>
          <w:szCs w:val="24"/>
        </w:rPr>
      </w:pPr>
      <w:r w:rsidRPr="00F11EF5">
        <w:rPr>
          <w:rFonts w:cs="Arial"/>
          <w:color w:val="auto"/>
          <w:sz w:val="24"/>
          <w:szCs w:val="24"/>
        </w:rPr>
        <w:t>Personal ocupado</w:t>
      </w:r>
    </w:p>
    <w:p w14:paraId="5659D5A8" w14:textId="002510FB" w:rsidR="00095006" w:rsidRPr="00F11EF5" w:rsidRDefault="005C7046" w:rsidP="006F08D7">
      <w:pPr>
        <w:pStyle w:val="texto0"/>
        <w:keepLines w:val="0"/>
        <w:widowControl w:val="0"/>
        <w:rPr>
          <w:rFonts w:cs="Arial"/>
          <w:color w:val="auto"/>
        </w:rPr>
      </w:pPr>
      <w:r w:rsidRPr="00F11EF5">
        <w:rPr>
          <w:rFonts w:cs="Arial"/>
          <w:color w:val="auto"/>
        </w:rPr>
        <w:t>En</w:t>
      </w:r>
      <w:r w:rsidR="00D37F4D" w:rsidRPr="00F11EF5">
        <w:rPr>
          <w:rFonts w:cs="Arial"/>
          <w:color w:val="auto"/>
        </w:rPr>
        <w:t xml:space="preserve"> </w:t>
      </w:r>
      <w:r w:rsidR="005F3B6E" w:rsidRPr="00F11EF5">
        <w:rPr>
          <w:rFonts w:cs="Arial"/>
          <w:color w:val="auto"/>
        </w:rPr>
        <w:t xml:space="preserve">el </w:t>
      </w:r>
      <w:r w:rsidR="005F3490" w:rsidRPr="00F11EF5">
        <w:rPr>
          <w:rFonts w:cs="Arial"/>
          <w:color w:val="auto"/>
        </w:rPr>
        <w:t>segundo</w:t>
      </w:r>
      <w:r w:rsidR="005F3B6E" w:rsidRPr="00F11EF5">
        <w:rPr>
          <w:rFonts w:cs="Arial"/>
          <w:color w:val="auto"/>
        </w:rPr>
        <w:t xml:space="preserve"> mes</w:t>
      </w:r>
      <w:r w:rsidR="001227D4" w:rsidRPr="00F11EF5">
        <w:rPr>
          <w:rFonts w:cs="Arial"/>
          <w:color w:val="auto"/>
        </w:rPr>
        <w:t xml:space="preserve"> </w:t>
      </w:r>
      <w:r w:rsidR="0097390E" w:rsidRPr="00F11EF5">
        <w:rPr>
          <w:rFonts w:cs="Arial"/>
          <w:color w:val="auto"/>
        </w:rPr>
        <w:t>de 202</w:t>
      </w:r>
      <w:r w:rsidR="005F3B6E" w:rsidRPr="00F11EF5">
        <w:rPr>
          <w:rFonts w:cs="Arial"/>
          <w:color w:val="auto"/>
        </w:rPr>
        <w:t>4</w:t>
      </w:r>
      <w:r w:rsidR="007A2074" w:rsidRPr="00F11EF5">
        <w:rPr>
          <w:rFonts w:cs="Arial"/>
          <w:color w:val="auto"/>
        </w:rPr>
        <w:t xml:space="preserve"> y a tasa mensual</w:t>
      </w:r>
      <w:r w:rsidR="0097390E" w:rsidRPr="00F11EF5">
        <w:rPr>
          <w:rFonts w:cs="Arial"/>
          <w:color w:val="auto"/>
        </w:rPr>
        <w:t>,</w:t>
      </w:r>
      <w:r w:rsidR="00F9049D" w:rsidRPr="00F11EF5">
        <w:rPr>
          <w:rFonts w:cs="Arial"/>
          <w:color w:val="auto"/>
        </w:rPr>
        <w:t xml:space="preserve"> e</w:t>
      </w:r>
      <w:r w:rsidR="004916C9" w:rsidRPr="00F11EF5">
        <w:rPr>
          <w:rFonts w:cs="Arial"/>
          <w:color w:val="auto"/>
        </w:rPr>
        <w:t xml:space="preserve">l personal ocupado </w:t>
      </w:r>
      <w:r w:rsidR="00BA2F7D" w:rsidRPr="00F11EF5">
        <w:rPr>
          <w:rFonts w:cs="Arial"/>
          <w:color w:val="auto"/>
        </w:rPr>
        <w:t xml:space="preserve">total </w:t>
      </w:r>
      <w:r w:rsidR="004916C9" w:rsidRPr="00F11EF5">
        <w:rPr>
          <w:rFonts w:cs="Arial"/>
          <w:color w:val="auto"/>
        </w:rPr>
        <w:t>en la industria manufacturera</w:t>
      </w:r>
      <w:r w:rsidR="00F66DB4" w:rsidRPr="00F11EF5">
        <w:rPr>
          <w:rFonts w:cs="Arial"/>
          <w:color w:val="auto"/>
        </w:rPr>
        <w:t xml:space="preserve"> </w:t>
      </w:r>
      <w:r w:rsidR="00525D35" w:rsidRPr="00F11EF5">
        <w:rPr>
          <w:rFonts w:cs="Arial"/>
          <w:color w:val="auto"/>
        </w:rPr>
        <w:t>cayó 0.</w:t>
      </w:r>
      <w:r w:rsidR="005A396E" w:rsidRPr="00F11EF5">
        <w:rPr>
          <w:rFonts w:cs="Arial"/>
          <w:color w:val="auto"/>
        </w:rPr>
        <w:t>2</w:t>
      </w:r>
      <w:r w:rsidR="009874EE" w:rsidRPr="00F11EF5">
        <w:rPr>
          <w:rFonts w:cs="Arial"/>
          <w:color w:val="auto"/>
        </w:rPr>
        <w:t xml:space="preserve"> </w:t>
      </w:r>
      <w:r w:rsidR="00435116" w:rsidRPr="00F11EF5">
        <w:rPr>
          <w:rFonts w:cs="Arial"/>
          <w:color w:val="auto"/>
        </w:rPr>
        <w:t>por</w:t>
      </w:r>
      <w:r w:rsidR="009874EE" w:rsidRPr="00F11EF5">
        <w:rPr>
          <w:rFonts w:cs="Arial"/>
          <w:color w:val="auto"/>
        </w:rPr>
        <w:t xml:space="preserve"> </w:t>
      </w:r>
      <w:r w:rsidR="00435116" w:rsidRPr="00F11EF5">
        <w:rPr>
          <w:rFonts w:cs="Arial"/>
          <w:color w:val="auto"/>
        </w:rPr>
        <w:t>ciento</w:t>
      </w:r>
      <w:r w:rsidR="007A2074" w:rsidRPr="00F11EF5">
        <w:rPr>
          <w:rFonts w:cs="Arial"/>
          <w:color w:val="auto"/>
        </w:rPr>
        <w:t>.</w:t>
      </w:r>
      <w:r w:rsidR="004916C9" w:rsidRPr="00F11EF5">
        <w:rPr>
          <w:rFonts w:cs="Arial"/>
          <w:color w:val="auto"/>
        </w:rPr>
        <w:t xml:space="preserve"> </w:t>
      </w:r>
      <w:r w:rsidR="007A2074" w:rsidRPr="00F11EF5">
        <w:rPr>
          <w:rFonts w:cs="Arial"/>
          <w:color w:val="auto"/>
        </w:rPr>
        <w:t xml:space="preserve">Por tipo de contratación, </w:t>
      </w:r>
      <w:r w:rsidR="000A23A9" w:rsidRPr="00F11EF5">
        <w:rPr>
          <w:rFonts w:cs="Arial"/>
          <w:color w:val="auto"/>
        </w:rPr>
        <w:t xml:space="preserve">el personal </w:t>
      </w:r>
      <w:r w:rsidR="001B0326" w:rsidRPr="00F11EF5">
        <w:rPr>
          <w:rFonts w:cs="Arial"/>
          <w:color w:val="auto"/>
        </w:rPr>
        <w:t xml:space="preserve">no </w:t>
      </w:r>
      <w:r w:rsidR="000A23A9" w:rsidRPr="00F11EF5">
        <w:rPr>
          <w:rFonts w:cs="Arial"/>
          <w:color w:val="auto"/>
        </w:rPr>
        <w:t xml:space="preserve">dependiente de la razón social descendió </w:t>
      </w:r>
      <w:r w:rsidR="00781B1E" w:rsidRPr="00F11EF5">
        <w:rPr>
          <w:rFonts w:cs="Arial"/>
          <w:color w:val="auto"/>
        </w:rPr>
        <w:t>1</w:t>
      </w:r>
      <w:r w:rsidR="005A396E" w:rsidRPr="00F11EF5">
        <w:rPr>
          <w:rFonts w:cs="Arial"/>
          <w:color w:val="auto"/>
        </w:rPr>
        <w:t>.4</w:t>
      </w:r>
      <w:r w:rsidR="00EC522D" w:rsidRPr="00F11EF5">
        <w:rPr>
          <w:rFonts w:cs="Arial"/>
          <w:color w:val="auto"/>
        </w:rPr>
        <w:t> %</w:t>
      </w:r>
      <w:r w:rsidR="000A23A9" w:rsidRPr="00F11EF5">
        <w:rPr>
          <w:rFonts w:cs="Arial"/>
          <w:color w:val="auto"/>
        </w:rPr>
        <w:t xml:space="preserve"> </w:t>
      </w:r>
      <w:r w:rsidR="001B0326" w:rsidRPr="00F11EF5">
        <w:rPr>
          <w:rFonts w:cs="Arial"/>
          <w:color w:val="auto"/>
        </w:rPr>
        <w:t xml:space="preserve">y el dependiente, </w:t>
      </w:r>
      <w:r w:rsidR="00B06B40" w:rsidRPr="00F11EF5">
        <w:rPr>
          <w:rFonts w:cs="Arial"/>
          <w:color w:val="auto"/>
        </w:rPr>
        <w:t>0.</w:t>
      </w:r>
      <w:r w:rsidR="00781B1E" w:rsidRPr="00F11EF5">
        <w:rPr>
          <w:rFonts w:cs="Arial"/>
          <w:color w:val="auto"/>
        </w:rPr>
        <w:t>1</w:t>
      </w:r>
      <w:r w:rsidR="00EC522D" w:rsidRPr="00F11EF5">
        <w:rPr>
          <w:rFonts w:cs="Arial"/>
          <w:color w:val="auto"/>
        </w:rPr>
        <w:t> %</w:t>
      </w:r>
      <w:r w:rsidR="001438A4" w:rsidRPr="00F11EF5">
        <w:rPr>
          <w:rFonts w:cs="Arial"/>
          <w:color w:val="auto"/>
        </w:rPr>
        <w:t xml:space="preserve"> </w:t>
      </w:r>
      <w:r w:rsidR="000A23A9" w:rsidRPr="00F11EF5">
        <w:rPr>
          <w:rFonts w:cs="Arial"/>
          <w:color w:val="auto"/>
        </w:rPr>
        <w:t>—el número de las y los obreros y técnicos en producción bajó 0.</w:t>
      </w:r>
      <w:r w:rsidR="005A396E" w:rsidRPr="00F11EF5">
        <w:rPr>
          <w:rFonts w:cs="Arial"/>
          <w:color w:val="auto"/>
        </w:rPr>
        <w:t>3</w:t>
      </w:r>
      <w:r w:rsidR="00EC522D" w:rsidRPr="00F11EF5">
        <w:rPr>
          <w:rFonts w:cs="Arial"/>
          <w:color w:val="auto"/>
        </w:rPr>
        <w:t> %</w:t>
      </w:r>
      <w:r w:rsidR="000A23A9" w:rsidRPr="00F11EF5">
        <w:rPr>
          <w:rFonts w:cs="Arial"/>
          <w:color w:val="auto"/>
        </w:rPr>
        <w:t xml:space="preserve"> y </w:t>
      </w:r>
      <w:r w:rsidR="005E19CA" w:rsidRPr="00F11EF5">
        <w:rPr>
          <w:rFonts w:cs="Arial"/>
          <w:color w:val="auto"/>
        </w:rPr>
        <w:t xml:space="preserve">el </w:t>
      </w:r>
      <w:r w:rsidR="000A23A9" w:rsidRPr="00F11EF5">
        <w:rPr>
          <w:rFonts w:cs="Arial"/>
          <w:color w:val="auto"/>
        </w:rPr>
        <w:t>de las y los empleados administrativos, contables y de dirección</w:t>
      </w:r>
      <w:r w:rsidR="00B06B40" w:rsidRPr="00F11EF5">
        <w:rPr>
          <w:rFonts w:cs="Arial"/>
          <w:color w:val="auto"/>
        </w:rPr>
        <w:t>, 0.1</w:t>
      </w:r>
      <w:r w:rsidR="00EC522D" w:rsidRPr="00F11EF5">
        <w:rPr>
          <w:rFonts w:cs="Arial"/>
          <w:color w:val="auto"/>
        </w:rPr>
        <w:t> %</w:t>
      </w:r>
      <w:r w:rsidR="00150FC2" w:rsidRPr="00F11EF5">
        <w:rPr>
          <w:rFonts w:cs="Arial"/>
          <w:color w:val="auto"/>
        </w:rPr>
        <w:t>—</w:t>
      </w:r>
      <w:r w:rsidR="00DC2221" w:rsidRPr="00F11EF5">
        <w:rPr>
          <w:rFonts w:cs="Arial"/>
          <w:color w:val="auto"/>
        </w:rPr>
        <w:t>.</w:t>
      </w:r>
      <w:r w:rsidR="00150FC2" w:rsidRPr="00F11EF5">
        <w:rPr>
          <w:rFonts w:cs="Arial"/>
          <w:color w:val="auto"/>
        </w:rPr>
        <w:t xml:space="preserve"> </w:t>
      </w:r>
    </w:p>
    <w:p w14:paraId="4F665ECE" w14:textId="77777777" w:rsidR="00095006" w:rsidRPr="00F11EF5" w:rsidRDefault="00095006" w:rsidP="006F08D7">
      <w:pPr>
        <w:pStyle w:val="p0"/>
        <w:keepLines w:val="0"/>
        <w:jc w:val="center"/>
        <w:rPr>
          <w:rFonts w:ascii="Arial" w:hAnsi="Arial"/>
          <w:color w:val="auto"/>
          <w:sz w:val="20"/>
          <w:szCs w:val="22"/>
        </w:rPr>
      </w:pPr>
      <w:r w:rsidRPr="00F11EF5">
        <w:rPr>
          <w:rFonts w:ascii="Arial" w:hAnsi="Arial"/>
          <w:color w:val="auto"/>
          <w:sz w:val="20"/>
          <w:szCs w:val="22"/>
        </w:rPr>
        <w:t>Gráfica 1</w:t>
      </w:r>
    </w:p>
    <w:p w14:paraId="41863FC9" w14:textId="5456963D" w:rsidR="00FC6EBD" w:rsidRPr="00F11EF5" w:rsidRDefault="005F3B6E" w:rsidP="00F9049D">
      <w:pPr>
        <w:pStyle w:val="p0"/>
        <w:keepLines w:val="0"/>
        <w:spacing w:before="0"/>
        <w:ind w:hanging="11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F11EF5">
        <w:rPr>
          <w:rFonts w:ascii="Arial" w:hAnsi="Arial"/>
          <w:b/>
          <w:smallCaps/>
          <w:color w:val="auto"/>
          <w:sz w:val="22"/>
          <w:szCs w:val="22"/>
        </w:rPr>
        <w:t>serie desestacionalizada y de tendencia-ciclo</w:t>
      </w:r>
      <w:r w:rsidR="006C26EE" w:rsidRPr="00F11EF5">
        <w:rPr>
          <w:rStyle w:val="Refdenotaalpie"/>
          <w:rFonts w:ascii="Arial" w:hAnsi="Arial"/>
          <w:b/>
          <w:bCs/>
          <w:smallCaps/>
          <w:color w:val="auto"/>
          <w:sz w:val="22"/>
          <w:szCs w:val="22"/>
        </w:rPr>
        <w:footnoteReference w:id="3"/>
      </w:r>
      <w:r w:rsidR="00506868" w:rsidRPr="00F11EF5">
        <w:rPr>
          <w:rFonts w:ascii="Arial" w:hAnsi="Arial"/>
          <w:b/>
          <w:smallCaps/>
          <w:color w:val="auto"/>
          <w:sz w:val="22"/>
          <w:szCs w:val="22"/>
        </w:rPr>
        <w:t xml:space="preserve"> </w:t>
      </w:r>
      <w:r w:rsidR="00506868" w:rsidRPr="00F11EF5">
        <w:rPr>
          <w:rFonts w:ascii="Arial" w:hAnsi="Arial"/>
          <w:b/>
          <w:smallCaps/>
          <w:color w:val="auto"/>
          <w:sz w:val="22"/>
          <w:szCs w:val="22"/>
        </w:rPr>
        <w:br/>
      </w:r>
      <w:r w:rsidRPr="00F11EF5">
        <w:rPr>
          <w:rFonts w:ascii="Arial" w:hAnsi="Arial"/>
          <w:b/>
          <w:smallCaps/>
          <w:color w:val="auto"/>
          <w:sz w:val="22"/>
          <w:szCs w:val="22"/>
        </w:rPr>
        <w:t>del personal ocupado total</w:t>
      </w:r>
    </w:p>
    <w:p w14:paraId="413C51E1" w14:textId="6095254B" w:rsidR="00D2494E" w:rsidRPr="00F11EF5" w:rsidRDefault="00D2494E" w:rsidP="00F9049D">
      <w:pPr>
        <w:pStyle w:val="p0"/>
        <w:keepLines w:val="0"/>
        <w:spacing w:before="0"/>
        <w:ind w:hanging="11"/>
        <w:jc w:val="center"/>
        <w:rPr>
          <w:rFonts w:ascii="Arial" w:hAnsi="Arial"/>
          <w:bCs/>
          <w:color w:val="auto"/>
          <w:sz w:val="20"/>
          <w:szCs w:val="20"/>
        </w:rPr>
      </w:pPr>
      <w:r w:rsidRPr="00F11EF5">
        <w:rPr>
          <w:rFonts w:ascii="Arial" w:hAnsi="Arial"/>
          <w:bCs/>
          <w:color w:val="auto"/>
          <w:sz w:val="20"/>
          <w:szCs w:val="20"/>
        </w:rPr>
        <w:t xml:space="preserve">a </w:t>
      </w:r>
      <w:r w:rsidR="005F3490" w:rsidRPr="00F11EF5">
        <w:rPr>
          <w:rFonts w:ascii="Arial" w:hAnsi="Arial"/>
          <w:bCs/>
          <w:color w:val="auto"/>
          <w:sz w:val="20"/>
          <w:szCs w:val="20"/>
        </w:rPr>
        <w:t>febr</w:t>
      </w:r>
      <w:r w:rsidRPr="00F11EF5">
        <w:rPr>
          <w:rFonts w:ascii="Arial" w:hAnsi="Arial"/>
          <w:bCs/>
          <w:color w:val="auto"/>
          <w:sz w:val="20"/>
          <w:szCs w:val="20"/>
        </w:rPr>
        <w:t>e</w:t>
      </w:r>
      <w:r w:rsidR="005F3B6E" w:rsidRPr="00F11EF5">
        <w:rPr>
          <w:rFonts w:ascii="Arial" w:hAnsi="Arial"/>
          <w:bCs/>
          <w:color w:val="auto"/>
          <w:sz w:val="20"/>
          <w:szCs w:val="20"/>
        </w:rPr>
        <w:t>ro</w:t>
      </w:r>
      <w:r w:rsidRPr="00F11EF5">
        <w:rPr>
          <w:rFonts w:ascii="Arial" w:hAnsi="Arial"/>
          <w:bCs/>
          <w:color w:val="auto"/>
          <w:sz w:val="20"/>
          <w:szCs w:val="20"/>
        </w:rPr>
        <w:t xml:space="preserve"> de 202</w:t>
      </w:r>
      <w:r w:rsidR="005F3B6E" w:rsidRPr="00F11EF5">
        <w:rPr>
          <w:rFonts w:ascii="Arial" w:hAnsi="Arial"/>
          <w:bCs/>
          <w:color w:val="auto"/>
          <w:sz w:val="20"/>
          <w:szCs w:val="20"/>
        </w:rPr>
        <w:t>4</w:t>
      </w:r>
    </w:p>
    <w:p w14:paraId="0304B133" w14:textId="217AB4D1" w:rsidR="00095006" w:rsidRPr="00F11EF5" w:rsidRDefault="00095006" w:rsidP="00F9049D">
      <w:pPr>
        <w:pStyle w:val="p0"/>
        <w:keepLines w:val="0"/>
        <w:spacing w:before="0"/>
        <w:ind w:hanging="11"/>
        <w:jc w:val="center"/>
        <w:rPr>
          <w:rFonts w:ascii="Arial" w:hAnsi="Arial"/>
          <w:color w:val="auto"/>
          <w:sz w:val="18"/>
        </w:rPr>
      </w:pPr>
      <w:r w:rsidRPr="00F11EF5">
        <w:rPr>
          <w:rFonts w:ascii="Arial" w:hAnsi="Arial"/>
          <w:color w:val="auto"/>
          <w:sz w:val="18"/>
        </w:rPr>
        <w:t>(</w:t>
      </w:r>
      <w:r w:rsidR="00D2494E" w:rsidRPr="00F11EF5">
        <w:rPr>
          <w:rFonts w:ascii="Arial" w:hAnsi="Arial"/>
          <w:color w:val="auto"/>
          <w:sz w:val="18"/>
        </w:rPr>
        <w:t>í</w:t>
      </w:r>
      <w:r w:rsidRPr="00F11EF5">
        <w:rPr>
          <w:rFonts w:ascii="Arial" w:hAnsi="Arial"/>
          <w:color w:val="auto"/>
          <w:sz w:val="18"/>
        </w:rPr>
        <w:t>ndice</w:t>
      </w:r>
      <w:r w:rsidR="00817FA5" w:rsidRPr="00F11EF5">
        <w:rPr>
          <w:rFonts w:ascii="Arial" w:hAnsi="Arial"/>
          <w:color w:val="auto"/>
          <w:sz w:val="18"/>
        </w:rPr>
        <w:t xml:space="preserve"> </w:t>
      </w:r>
      <w:r w:rsidRPr="00F11EF5">
        <w:rPr>
          <w:rFonts w:ascii="Arial" w:hAnsi="Arial"/>
          <w:color w:val="auto"/>
          <w:sz w:val="18"/>
        </w:rPr>
        <w:t>20</w:t>
      </w:r>
      <w:r w:rsidR="00745A07" w:rsidRPr="00F11EF5">
        <w:rPr>
          <w:rFonts w:ascii="Arial" w:hAnsi="Arial"/>
          <w:color w:val="auto"/>
          <w:sz w:val="18"/>
        </w:rPr>
        <w:t>1</w:t>
      </w:r>
      <w:r w:rsidR="007A2074" w:rsidRPr="00F11EF5">
        <w:rPr>
          <w:rFonts w:ascii="Arial" w:hAnsi="Arial"/>
          <w:color w:val="auto"/>
          <w:sz w:val="18"/>
        </w:rPr>
        <w:t>8</w:t>
      </w:r>
      <w:r w:rsidRPr="00F11EF5">
        <w:rPr>
          <w:rFonts w:ascii="Arial" w:hAnsi="Arial"/>
          <w:color w:val="auto"/>
          <w:sz w:val="18"/>
        </w:rPr>
        <w:t>=100)</w:t>
      </w:r>
    </w:p>
    <w:p w14:paraId="660E926B" w14:textId="1512E226" w:rsidR="00095006" w:rsidRPr="00F11EF5" w:rsidRDefault="00781B1E" w:rsidP="6591751A">
      <w:pPr>
        <w:widowControl w:val="0"/>
        <w:jc w:val="center"/>
        <w:rPr>
          <w:sz w:val="18"/>
          <w:szCs w:val="18"/>
        </w:rPr>
      </w:pPr>
      <w:r w:rsidRPr="00F11EF5">
        <w:rPr>
          <w:noProof/>
        </w:rPr>
        <w:drawing>
          <wp:inline distT="0" distB="0" distL="0" distR="0" wp14:anchorId="107A940A" wp14:editId="3DF74BF0">
            <wp:extent cx="5400000" cy="2880000"/>
            <wp:effectExtent l="0" t="0" r="29845" b="34925"/>
            <wp:docPr id="158798102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814091C" w14:textId="0204F8BD" w:rsidR="00095006" w:rsidRPr="00F11EF5" w:rsidRDefault="00095006" w:rsidP="00426944">
      <w:pPr>
        <w:pStyle w:val="p0"/>
        <w:keepLines w:val="0"/>
        <w:spacing w:before="0"/>
        <w:ind w:left="1456" w:right="805" w:hanging="605"/>
        <w:rPr>
          <w:rFonts w:ascii="Arial" w:hAnsi="Arial"/>
          <w:color w:val="auto"/>
          <w:sz w:val="16"/>
        </w:rPr>
      </w:pPr>
      <w:r w:rsidRPr="00F11EF5">
        <w:rPr>
          <w:rFonts w:ascii="Arial" w:hAnsi="Arial"/>
          <w:color w:val="auto"/>
          <w:sz w:val="16"/>
        </w:rPr>
        <w:t>Fuente:</w:t>
      </w:r>
      <w:r w:rsidR="00426944" w:rsidRPr="00F11EF5">
        <w:rPr>
          <w:rFonts w:ascii="Arial" w:hAnsi="Arial"/>
          <w:color w:val="auto"/>
          <w:sz w:val="16"/>
        </w:rPr>
        <w:tab/>
      </w:r>
      <w:r w:rsidR="00B771BD" w:rsidRPr="00F11EF5">
        <w:rPr>
          <w:rFonts w:ascii="Arial" w:hAnsi="Arial"/>
          <w:smallCaps/>
          <w:color w:val="auto"/>
          <w:sz w:val="16"/>
        </w:rPr>
        <w:t>inegi</w:t>
      </w:r>
      <w:r w:rsidR="001F132E" w:rsidRPr="00F11EF5">
        <w:rPr>
          <w:rFonts w:ascii="Arial" w:hAnsi="Arial"/>
          <w:color w:val="auto"/>
          <w:sz w:val="16"/>
        </w:rPr>
        <w:t xml:space="preserve">. </w:t>
      </w:r>
      <w:r w:rsidR="00426944" w:rsidRPr="00F11EF5">
        <w:rPr>
          <w:rFonts w:ascii="Arial" w:hAnsi="Arial"/>
          <w:smallCaps/>
          <w:color w:val="auto"/>
          <w:sz w:val="16"/>
        </w:rPr>
        <w:t>emim</w:t>
      </w:r>
      <w:r w:rsidR="00426944" w:rsidRPr="00F11EF5">
        <w:rPr>
          <w:rFonts w:ascii="Arial" w:hAnsi="Arial"/>
          <w:color w:val="auto"/>
          <w:sz w:val="16"/>
          <w:szCs w:val="16"/>
        </w:rPr>
        <w:t>.</w:t>
      </w:r>
      <w:r w:rsidR="00426944" w:rsidRPr="00F11EF5">
        <w:rPr>
          <w:rFonts w:ascii="Arial" w:hAnsi="Arial"/>
          <w:b/>
          <w:color w:val="auto"/>
          <w:sz w:val="16"/>
          <w:szCs w:val="16"/>
        </w:rPr>
        <w:t xml:space="preserve"> </w:t>
      </w:r>
      <w:r w:rsidR="00C0410F" w:rsidRPr="00F11EF5">
        <w:rPr>
          <w:rFonts w:ascii="Arial" w:hAnsi="Arial"/>
          <w:color w:val="auto"/>
          <w:sz w:val="16"/>
        </w:rPr>
        <w:t>Series elaboradas mediante métodos econométricos</w:t>
      </w:r>
      <w:r w:rsidR="001F132E" w:rsidRPr="00F11EF5">
        <w:rPr>
          <w:rFonts w:ascii="Arial" w:hAnsi="Arial"/>
          <w:color w:val="auto"/>
          <w:sz w:val="16"/>
        </w:rPr>
        <w:t>, 202</w:t>
      </w:r>
      <w:r w:rsidR="005F3B6E" w:rsidRPr="00F11EF5">
        <w:rPr>
          <w:rFonts w:ascii="Arial" w:hAnsi="Arial"/>
          <w:color w:val="auto"/>
          <w:sz w:val="16"/>
        </w:rPr>
        <w:t>4</w:t>
      </w:r>
      <w:r w:rsidR="001F132E" w:rsidRPr="00F11EF5">
        <w:rPr>
          <w:rFonts w:ascii="Arial" w:hAnsi="Arial"/>
          <w:color w:val="auto"/>
          <w:sz w:val="16"/>
        </w:rPr>
        <w:t>.</w:t>
      </w:r>
    </w:p>
    <w:p w14:paraId="7B9A5A15" w14:textId="77777777" w:rsidR="0044026C" w:rsidRDefault="0044026C" w:rsidP="00EE7948">
      <w:pPr>
        <w:pStyle w:val="bulnot"/>
        <w:widowControl w:val="0"/>
        <w:spacing w:before="240"/>
        <w:ind w:left="567" w:right="567" w:firstLine="0"/>
        <w:rPr>
          <w:rFonts w:cs="Arial"/>
          <w:color w:val="auto"/>
          <w:sz w:val="24"/>
          <w:szCs w:val="24"/>
        </w:rPr>
      </w:pPr>
    </w:p>
    <w:p w14:paraId="61ECC46F" w14:textId="33AFD565" w:rsidR="00095006" w:rsidRPr="00F11EF5" w:rsidRDefault="00095006" w:rsidP="00EE7948">
      <w:pPr>
        <w:pStyle w:val="bulnot"/>
        <w:widowControl w:val="0"/>
        <w:spacing w:before="240"/>
        <w:ind w:left="567" w:right="567" w:firstLine="0"/>
        <w:rPr>
          <w:rFonts w:cs="Arial"/>
          <w:b w:val="0"/>
          <w:color w:val="auto"/>
          <w:sz w:val="24"/>
          <w:szCs w:val="24"/>
        </w:rPr>
      </w:pPr>
      <w:r w:rsidRPr="00F11EF5">
        <w:rPr>
          <w:rFonts w:cs="Arial"/>
          <w:color w:val="auto"/>
          <w:sz w:val="24"/>
          <w:szCs w:val="24"/>
        </w:rPr>
        <w:t>Horas trabajadas</w:t>
      </w:r>
    </w:p>
    <w:p w14:paraId="5338D062" w14:textId="6BD35A30" w:rsidR="00095006" w:rsidRPr="00F11EF5" w:rsidRDefault="007814CB" w:rsidP="006F08D7">
      <w:pPr>
        <w:pStyle w:val="texto0"/>
        <w:keepLines w:val="0"/>
        <w:rPr>
          <w:rFonts w:cs="Arial"/>
          <w:color w:val="auto"/>
        </w:rPr>
      </w:pPr>
      <w:r w:rsidRPr="00F11EF5">
        <w:rPr>
          <w:rFonts w:cs="Arial"/>
          <w:color w:val="auto"/>
        </w:rPr>
        <w:t xml:space="preserve">En </w:t>
      </w:r>
      <w:r w:rsidR="005F3490" w:rsidRPr="00F11EF5">
        <w:rPr>
          <w:rFonts w:cs="Arial"/>
          <w:color w:val="auto"/>
        </w:rPr>
        <w:t>febr</w:t>
      </w:r>
      <w:r w:rsidR="005F3B6E" w:rsidRPr="00F11EF5">
        <w:rPr>
          <w:rFonts w:cs="Arial"/>
          <w:color w:val="auto"/>
        </w:rPr>
        <w:t xml:space="preserve">ero de </w:t>
      </w:r>
      <w:r w:rsidR="005F3490" w:rsidRPr="00F11EF5">
        <w:rPr>
          <w:rFonts w:cs="Arial"/>
          <w:color w:val="auto"/>
        </w:rPr>
        <w:t>202</w:t>
      </w:r>
      <w:r w:rsidR="00400632">
        <w:rPr>
          <w:rFonts w:cs="Arial"/>
          <w:color w:val="auto"/>
        </w:rPr>
        <w:t>4</w:t>
      </w:r>
      <w:r w:rsidR="005F3B6E" w:rsidRPr="00F11EF5">
        <w:rPr>
          <w:rFonts w:cs="Arial"/>
          <w:color w:val="auto"/>
        </w:rPr>
        <w:t>,</w:t>
      </w:r>
      <w:r w:rsidR="009B6D1E" w:rsidRPr="00F11EF5">
        <w:rPr>
          <w:rFonts w:cs="Arial"/>
          <w:color w:val="auto"/>
        </w:rPr>
        <w:t xml:space="preserve"> </w:t>
      </w:r>
      <w:r w:rsidR="004916C9" w:rsidRPr="00F11EF5">
        <w:rPr>
          <w:rFonts w:cs="Arial"/>
          <w:color w:val="auto"/>
        </w:rPr>
        <w:t xml:space="preserve">las horas trabajadas </w:t>
      </w:r>
      <w:r w:rsidR="003C53CE" w:rsidRPr="00F11EF5">
        <w:rPr>
          <w:rFonts w:cs="Arial"/>
          <w:color w:val="auto"/>
        </w:rPr>
        <w:t xml:space="preserve">por el personal ocupado total </w:t>
      </w:r>
      <w:r w:rsidR="004916C9" w:rsidRPr="00F11EF5">
        <w:rPr>
          <w:rFonts w:cs="Arial"/>
          <w:color w:val="auto"/>
        </w:rPr>
        <w:t>en la industria manufacturera</w:t>
      </w:r>
      <w:r w:rsidR="00912E74" w:rsidRPr="00F11EF5">
        <w:rPr>
          <w:rFonts w:cs="Arial"/>
          <w:color w:val="auto"/>
        </w:rPr>
        <w:t xml:space="preserve"> </w:t>
      </w:r>
      <w:r w:rsidR="00781B1E" w:rsidRPr="00F11EF5">
        <w:rPr>
          <w:rFonts w:cs="Arial"/>
          <w:color w:val="auto"/>
        </w:rPr>
        <w:t>aumenta</w:t>
      </w:r>
      <w:r w:rsidR="00C17625" w:rsidRPr="00F11EF5">
        <w:rPr>
          <w:rFonts w:cs="Arial"/>
          <w:color w:val="auto"/>
        </w:rPr>
        <w:t>ron</w:t>
      </w:r>
      <w:r w:rsidR="0090293E" w:rsidRPr="00F11EF5">
        <w:rPr>
          <w:rFonts w:cs="Arial"/>
          <w:color w:val="auto"/>
        </w:rPr>
        <w:t xml:space="preserve"> </w:t>
      </w:r>
      <w:r w:rsidR="00912E74" w:rsidRPr="00F11EF5">
        <w:rPr>
          <w:rFonts w:cs="Arial"/>
          <w:color w:val="auto"/>
        </w:rPr>
        <w:t>0.</w:t>
      </w:r>
      <w:r w:rsidR="00781B1E" w:rsidRPr="00F11EF5">
        <w:rPr>
          <w:rFonts w:cs="Arial"/>
          <w:color w:val="auto"/>
        </w:rPr>
        <w:t>4</w:t>
      </w:r>
      <w:r w:rsidR="00EC522D" w:rsidRPr="00F11EF5">
        <w:rPr>
          <w:rFonts w:cs="Arial"/>
          <w:color w:val="auto"/>
        </w:rPr>
        <w:t> %</w:t>
      </w:r>
      <w:r w:rsidR="00A62498" w:rsidRPr="00F11EF5">
        <w:rPr>
          <w:rFonts w:cs="Arial"/>
          <w:color w:val="auto"/>
        </w:rPr>
        <w:t xml:space="preserve"> </w:t>
      </w:r>
      <w:r w:rsidR="00716FE8" w:rsidRPr="00F11EF5">
        <w:rPr>
          <w:rFonts w:cs="Arial"/>
          <w:color w:val="auto"/>
        </w:rPr>
        <w:t>respecto</w:t>
      </w:r>
      <w:r w:rsidR="00FB4ED0" w:rsidRPr="00F11EF5">
        <w:rPr>
          <w:rFonts w:cs="Arial"/>
          <w:color w:val="auto"/>
        </w:rPr>
        <w:t xml:space="preserve"> a </w:t>
      </w:r>
      <w:r w:rsidR="009B5F33" w:rsidRPr="00F11EF5">
        <w:rPr>
          <w:rFonts w:cs="Arial"/>
          <w:color w:val="auto"/>
        </w:rPr>
        <w:t>las del mes anterior</w:t>
      </w:r>
      <w:r w:rsidR="00B31B04" w:rsidRPr="00F11EF5">
        <w:rPr>
          <w:rFonts w:cs="Arial"/>
          <w:color w:val="auto"/>
        </w:rPr>
        <w:t>.</w:t>
      </w:r>
      <w:r w:rsidR="005374B1" w:rsidRPr="00F11EF5">
        <w:rPr>
          <w:rFonts w:cs="Arial"/>
          <w:color w:val="auto"/>
        </w:rPr>
        <w:t xml:space="preserve"> </w:t>
      </w:r>
      <w:r w:rsidR="007965E2" w:rsidRPr="00F11EF5">
        <w:rPr>
          <w:rFonts w:cs="Arial"/>
          <w:color w:val="auto"/>
        </w:rPr>
        <w:t xml:space="preserve">Según la categoría de las y los ocupados, las trabajadas por el </w:t>
      </w:r>
      <w:r w:rsidR="00C17625" w:rsidRPr="00F11EF5">
        <w:rPr>
          <w:rFonts w:cs="Arial"/>
          <w:color w:val="auto"/>
        </w:rPr>
        <w:t>personal</w:t>
      </w:r>
      <w:r w:rsidR="004153CA" w:rsidRPr="00F11EF5">
        <w:rPr>
          <w:rFonts w:cs="Arial"/>
          <w:color w:val="auto"/>
        </w:rPr>
        <w:t xml:space="preserve"> no</w:t>
      </w:r>
      <w:r w:rsidR="00C17625" w:rsidRPr="00F11EF5">
        <w:rPr>
          <w:rFonts w:cs="Arial"/>
          <w:color w:val="auto"/>
        </w:rPr>
        <w:t xml:space="preserve"> dependiente </w:t>
      </w:r>
      <w:r w:rsidR="00F56655" w:rsidRPr="00F11EF5">
        <w:rPr>
          <w:rFonts w:cs="Arial"/>
          <w:color w:val="auto"/>
        </w:rPr>
        <w:t xml:space="preserve">de la razón social </w:t>
      </w:r>
      <w:r w:rsidR="00B35385" w:rsidRPr="00F11EF5">
        <w:rPr>
          <w:rFonts w:cs="Arial"/>
          <w:color w:val="auto"/>
        </w:rPr>
        <w:t xml:space="preserve">crecieron </w:t>
      </w:r>
      <w:r w:rsidR="001B6FC9" w:rsidRPr="00F11EF5">
        <w:rPr>
          <w:rFonts w:cs="Arial"/>
          <w:color w:val="auto"/>
        </w:rPr>
        <w:t>7.</w:t>
      </w:r>
      <w:r w:rsidR="004153CA" w:rsidRPr="00F11EF5">
        <w:rPr>
          <w:rFonts w:cs="Arial"/>
          <w:color w:val="auto"/>
        </w:rPr>
        <w:t>6</w:t>
      </w:r>
      <w:r w:rsidR="00EC522D" w:rsidRPr="00F11EF5">
        <w:rPr>
          <w:rFonts w:cs="Arial"/>
          <w:color w:val="auto"/>
        </w:rPr>
        <w:t> %</w:t>
      </w:r>
      <w:r w:rsidR="0044026C">
        <w:t> </w:t>
      </w:r>
      <w:r w:rsidR="004153CA" w:rsidRPr="00F11EF5">
        <w:rPr>
          <w:rFonts w:cs="Arial"/>
          <w:color w:val="auto"/>
        </w:rPr>
        <w:t>y las correspondientes al personal dependiente, 0.</w:t>
      </w:r>
      <w:r w:rsidR="001B6FC9" w:rsidRPr="00F11EF5">
        <w:rPr>
          <w:rFonts w:cs="Arial"/>
          <w:color w:val="auto"/>
        </w:rPr>
        <w:t>2</w:t>
      </w:r>
      <w:r w:rsidR="00EC522D" w:rsidRPr="00F11EF5">
        <w:rPr>
          <w:rFonts w:cs="Arial"/>
          <w:color w:val="auto"/>
        </w:rPr>
        <w:t> %</w:t>
      </w:r>
      <w:r w:rsidR="001438A4" w:rsidRPr="00F11EF5">
        <w:rPr>
          <w:rFonts w:cs="Arial"/>
          <w:color w:val="auto"/>
        </w:rPr>
        <w:t xml:space="preserve"> </w:t>
      </w:r>
      <w:r w:rsidR="00B35385" w:rsidRPr="00F11EF5">
        <w:rPr>
          <w:rFonts w:cs="Arial"/>
          <w:color w:val="auto"/>
        </w:rPr>
        <w:t>—las horas trabajadas de las y los obreros y técnicos en producción</w:t>
      </w:r>
      <w:r w:rsidR="001B6FC9" w:rsidRPr="00F11EF5">
        <w:rPr>
          <w:rFonts w:cs="Arial"/>
          <w:color w:val="auto"/>
        </w:rPr>
        <w:t>,</w:t>
      </w:r>
      <w:r w:rsidR="00B35385" w:rsidRPr="00F11EF5">
        <w:rPr>
          <w:rFonts w:cs="Arial"/>
          <w:color w:val="auto"/>
        </w:rPr>
        <w:t xml:space="preserve"> y de las y los empleados administrativos, contables y de dirección</w:t>
      </w:r>
      <w:r w:rsidR="001B6FC9" w:rsidRPr="00F11EF5">
        <w:rPr>
          <w:rFonts w:cs="Arial"/>
          <w:color w:val="auto"/>
        </w:rPr>
        <w:t xml:space="preserve"> ascendieron</w:t>
      </w:r>
      <w:r w:rsidR="00B35385" w:rsidRPr="00F11EF5">
        <w:rPr>
          <w:rFonts w:cs="Arial"/>
          <w:color w:val="auto"/>
        </w:rPr>
        <w:t xml:space="preserve"> 0.</w:t>
      </w:r>
      <w:r w:rsidR="001B6FC9" w:rsidRPr="00F11EF5">
        <w:rPr>
          <w:rFonts w:cs="Arial"/>
          <w:color w:val="auto"/>
        </w:rPr>
        <w:t>2</w:t>
      </w:r>
      <w:r w:rsidR="00EC522D" w:rsidRPr="00F11EF5">
        <w:rPr>
          <w:rFonts w:cs="Arial"/>
          <w:color w:val="auto"/>
        </w:rPr>
        <w:t> %</w:t>
      </w:r>
      <w:r w:rsidR="00B35385" w:rsidRPr="00F11EF5">
        <w:rPr>
          <w:rFonts w:cs="Arial"/>
          <w:color w:val="auto"/>
        </w:rPr>
        <w:t>—</w:t>
      </w:r>
      <w:r w:rsidR="00D3462A" w:rsidRPr="00F11EF5">
        <w:rPr>
          <w:rFonts w:cs="Arial"/>
          <w:color w:val="auto"/>
        </w:rPr>
        <w:t>.</w:t>
      </w:r>
    </w:p>
    <w:p w14:paraId="4839898E" w14:textId="77777777" w:rsidR="0044026C" w:rsidRDefault="0044026C" w:rsidP="006F08D7">
      <w:pPr>
        <w:pStyle w:val="p0"/>
        <w:keepLines w:val="0"/>
        <w:jc w:val="center"/>
        <w:rPr>
          <w:rFonts w:ascii="Arial" w:hAnsi="Arial"/>
          <w:color w:val="auto"/>
          <w:sz w:val="20"/>
          <w:szCs w:val="22"/>
        </w:rPr>
      </w:pPr>
    </w:p>
    <w:p w14:paraId="459F1552" w14:textId="2F256251" w:rsidR="00095006" w:rsidRPr="00F11EF5" w:rsidRDefault="00095006" w:rsidP="006F08D7">
      <w:pPr>
        <w:pStyle w:val="p0"/>
        <w:keepLines w:val="0"/>
        <w:jc w:val="center"/>
        <w:rPr>
          <w:rFonts w:ascii="Arial" w:hAnsi="Arial"/>
          <w:color w:val="auto"/>
          <w:sz w:val="20"/>
          <w:szCs w:val="22"/>
        </w:rPr>
      </w:pPr>
      <w:r w:rsidRPr="00F11EF5">
        <w:rPr>
          <w:rFonts w:ascii="Arial" w:hAnsi="Arial"/>
          <w:color w:val="auto"/>
          <w:sz w:val="20"/>
          <w:szCs w:val="22"/>
        </w:rPr>
        <w:t>Gráfica 2</w:t>
      </w:r>
    </w:p>
    <w:p w14:paraId="6BDA7CB4" w14:textId="1A9CBCAF" w:rsidR="003D45EB" w:rsidRPr="00F11EF5" w:rsidRDefault="005F3B6E" w:rsidP="00F9049D">
      <w:pPr>
        <w:pStyle w:val="p0"/>
        <w:keepLines w:val="0"/>
        <w:spacing w:before="0"/>
        <w:ind w:hanging="11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F11EF5">
        <w:rPr>
          <w:rFonts w:ascii="Arial" w:hAnsi="Arial"/>
          <w:b/>
          <w:smallCaps/>
          <w:color w:val="auto"/>
          <w:sz w:val="22"/>
          <w:szCs w:val="22"/>
        </w:rPr>
        <w:t xml:space="preserve">serie desestacionalizada y de tendencia-ciclo </w:t>
      </w:r>
      <w:r w:rsidRPr="00F11EF5">
        <w:rPr>
          <w:rFonts w:ascii="Arial" w:hAnsi="Arial"/>
          <w:b/>
          <w:smallCaps/>
          <w:color w:val="auto"/>
          <w:sz w:val="22"/>
          <w:szCs w:val="22"/>
        </w:rPr>
        <w:br/>
        <w:t>de las horas trabajadas por el personal ocupado total</w:t>
      </w:r>
    </w:p>
    <w:p w14:paraId="74B6339B" w14:textId="7F6B6290" w:rsidR="00095006" w:rsidRPr="00F11EF5" w:rsidRDefault="003D45EB" w:rsidP="00F9049D">
      <w:pPr>
        <w:pStyle w:val="p0"/>
        <w:keepLines w:val="0"/>
        <w:spacing w:before="0"/>
        <w:ind w:hanging="11"/>
        <w:jc w:val="center"/>
        <w:rPr>
          <w:rFonts w:ascii="Arial" w:hAnsi="Arial"/>
          <w:color w:val="auto"/>
          <w:sz w:val="18"/>
        </w:rPr>
      </w:pPr>
      <w:r w:rsidRPr="00F11EF5">
        <w:rPr>
          <w:rFonts w:ascii="Arial" w:hAnsi="Arial"/>
          <w:bCs/>
          <w:color w:val="auto"/>
          <w:sz w:val="20"/>
          <w:szCs w:val="20"/>
        </w:rPr>
        <w:t xml:space="preserve">a </w:t>
      </w:r>
      <w:r w:rsidR="005F3490" w:rsidRPr="00F11EF5">
        <w:rPr>
          <w:rFonts w:ascii="Arial" w:hAnsi="Arial"/>
          <w:bCs/>
          <w:color w:val="auto"/>
          <w:sz w:val="20"/>
          <w:szCs w:val="20"/>
        </w:rPr>
        <w:t>febr</w:t>
      </w:r>
      <w:r w:rsidR="005F3B6E" w:rsidRPr="00F11EF5">
        <w:rPr>
          <w:rFonts w:ascii="Arial" w:hAnsi="Arial"/>
          <w:bCs/>
          <w:color w:val="auto"/>
          <w:sz w:val="20"/>
          <w:szCs w:val="20"/>
        </w:rPr>
        <w:t>ero</w:t>
      </w:r>
      <w:r w:rsidRPr="00F11EF5">
        <w:rPr>
          <w:rFonts w:ascii="Arial" w:hAnsi="Arial"/>
          <w:bCs/>
          <w:color w:val="auto"/>
          <w:sz w:val="20"/>
          <w:szCs w:val="20"/>
        </w:rPr>
        <w:t xml:space="preserve"> de 202</w:t>
      </w:r>
      <w:r w:rsidR="005F3B6E" w:rsidRPr="00F11EF5">
        <w:rPr>
          <w:rFonts w:ascii="Arial" w:hAnsi="Arial"/>
          <w:bCs/>
          <w:color w:val="auto"/>
          <w:sz w:val="20"/>
          <w:szCs w:val="20"/>
        </w:rPr>
        <w:t>4</w:t>
      </w:r>
      <w:r w:rsidR="00095006" w:rsidRPr="00F11EF5">
        <w:rPr>
          <w:rFonts w:ascii="Arial" w:hAnsi="Arial"/>
          <w:b/>
          <w:smallCaps/>
          <w:color w:val="auto"/>
          <w:sz w:val="22"/>
          <w:szCs w:val="22"/>
        </w:rPr>
        <w:br/>
      </w:r>
      <w:r w:rsidR="00095006" w:rsidRPr="00F11EF5">
        <w:rPr>
          <w:rFonts w:ascii="Arial" w:hAnsi="Arial"/>
          <w:color w:val="auto"/>
          <w:sz w:val="18"/>
        </w:rPr>
        <w:t>(</w:t>
      </w:r>
      <w:r w:rsidRPr="00F11EF5">
        <w:rPr>
          <w:rFonts w:ascii="Arial" w:hAnsi="Arial"/>
          <w:color w:val="auto"/>
          <w:sz w:val="18"/>
        </w:rPr>
        <w:t>í</w:t>
      </w:r>
      <w:r w:rsidR="00095006" w:rsidRPr="00F11EF5">
        <w:rPr>
          <w:rFonts w:ascii="Arial" w:hAnsi="Arial"/>
          <w:color w:val="auto"/>
          <w:sz w:val="18"/>
        </w:rPr>
        <w:t>ndice</w:t>
      </w:r>
      <w:r w:rsidR="00BA2F7D" w:rsidRPr="00F11EF5">
        <w:rPr>
          <w:rFonts w:ascii="Arial" w:hAnsi="Arial"/>
          <w:color w:val="auto"/>
          <w:sz w:val="18"/>
        </w:rPr>
        <w:t xml:space="preserve"> </w:t>
      </w:r>
      <w:r w:rsidR="00095006" w:rsidRPr="00F11EF5">
        <w:rPr>
          <w:rFonts w:ascii="Arial" w:hAnsi="Arial"/>
          <w:color w:val="auto"/>
          <w:sz w:val="18"/>
        </w:rPr>
        <w:t>20</w:t>
      </w:r>
      <w:r w:rsidR="00745A07" w:rsidRPr="00F11EF5">
        <w:rPr>
          <w:rFonts w:ascii="Arial" w:hAnsi="Arial"/>
          <w:color w:val="auto"/>
          <w:sz w:val="18"/>
        </w:rPr>
        <w:t>1</w:t>
      </w:r>
      <w:r w:rsidR="00803B7F" w:rsidRPr="00F11EF5">
        <w:rPr>
          <w:rFonts w:ascii="Arial" w:hAnsi="Arial"/>
          <w:color w:val="auto"/>
          <w:sz w:val="18"/>
        </w:rPr>
        <w:t>8</w:t>
      </w:r>
      <w:r w:rsidR="00095006" w:rsidRPr="00F11EF5">
        <w:rPr>
          <w:rFonts w:ascii="Arial" w:hAnsi="Arial"/>
          <w:color w:val="auto"/>
          <w:sz w:val="18"/>
        </w:rPr>
        <w:t>=100)</w:t>
      </w:r>
    </w:p>
    <w:p w14:paraId="0CE6C7A9" w14:textId="0F2403FE" w:rsidR="00095006" w:rsidRPr="00F11EF5" w:rsidRDefault="001B6FC9" w:rsidP="6591751A">
      <w:pPr>
        <w:widowControl w:val="0"/>
        <w:jc w:val="center"/>
        <w:rPr>
          <w:sz w:val="18"/>
          <w:szCs w:val="18"/>
        </w:rPr>
      </w:pPr>
      <w:r w:rsidRPr="00F11EF5">
        <w:rPr>
          <w:noProof/>
        </w:rPr>
        <w:drawing>
          <wp:inline distT="0" distB="0" distL="0" distR="0" wp14:anchorId="73B9EB88" wp14:editId="044C1D0A">
            <wp:extent cx="5400000" cy="2880000"/>
            <wp:effectExtent l="0" t="0" r="29845" b="34925"/>
            <wp:docPr id="42785004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6978DE" w:rsidRPr="00F11EF5">
        <w:rPr>
          <w:sz w:val="18"/>
          <w:szCs w:val="18"/>
        </w:rPr>
        <w:t xml:space="preserve"> </w:t>
      </w:r>
    </w:p>
    <w:p w14:paraId="60863DF4" w14:textId="5E078AD3" w:rsidR="00426944" w:rsidRPr="00F11EF5" w:rsidRDefault="00426944" w:rsidP="00426944">
      <w:pPr>
        <w:pStyle w:val="p0"/>
        <w:keepLines w:val="0"/>
        <w:spacing w:before="0"/>
        <w:ind w:left="1428" w:right="805" w:hanging="577"/>
        <w:rPr>
          <w:rFonts w:ascii="Arial" w:hAnsi="Arial"/>
          <w:color w:val="auto"/>
          <w:sz w:val="16"/>
        </w:rPr>
      </w:pPr>
      <w:r w:rsidRPr="00F11EF5">
        <w:rPr>
          <w:rFonts w:ascii="Arial" w:hAnsi="Arial"/>
          <w:color w:val="auto"/>
          <w:sz w:val="16"/>
        </w:rPr>
        <w:t>Fuente:</w:t>
      </w:r>
      <w:r w:rsidRPr="00F11EF5">
        <w:rPr>
          <w:rFonts w:ascii="Arial" w:hAnsi="Arial"/>
          <w:color w:val="auto"/>
          <w:sz w:val="16"/>
        </w:rPr>
        <w:tab/>
      </w:r>
      <w:r w:rsidRPr="00F11EF5">
        <w:rPr>
          <w:rFonts w:ascii="Arial" w:hAnsi="Arial"/>
          <w:smallCaps/>
          <w:color w:val="auto"/>
          <w:sz w:val="16"/>
        </w:rPr>
        <w:t>inegi</w:t>
      </w:r>
      <w:r w:rsidRPr="00F11EF5">
        <w:rPr>
          <w:rFonts w:ascii="Arial" w:hAnsi="Arial"/>
          <w:color w:val="auto"/>
          <w:sz w:val="16"/>
        </w:rPr>
        <w:t xml:space="preserve">. </w:t>
      </w:r>
      <w:r w:rsidRPr="00F11EF5">
        <w:rPr>
          <w:rFonts w:ascii="Arial" w:hAnsi="Arial"/>
          <w:smallCaps/>
          <w:color w:val="auto"/>
          <w:sz w:val="16"/>
        </w:rPr>
        <w:t>emim</w:t>
      </w:r>
      <w:r w:rsidRPr="00F11EF5">
        <w:rPr>
          <w:rFonts w:ascii="Arial" w:hAnsi="Arial"/>
          <w:color w:val="auto"/>
          <w:sz w:val="16"/>
          <w:szCs w:val="16"/>
        </w:rPr>
        <w:t>.</w:t>
      </w:r>
      <w:r w:rsidRPr="00F11EF5">
        <w:rPr>
          <w:rFonts w:ascii="Arial" w:hAnsi="Arial"/>
          <w:b/>
          <w:color w:val="auto"/>
          <w:sz w:val="16"/>
          <w:szCs w:val="16"/>
        </w:rPr>
        <w:t xml:space="preserve"> </w:t>
      </w:r>
      <w:r w:rsidRPr="00F11EF5">
        <w:rPr>
          <w:rFonts w:ascii="Arial" w:hAnsi="Arial"/>
          <w:color w:val="auto"/>
          <w:sz w:val="16"/>
        </w:rPr>
        <w:t>Series elaboradas mediante métodos econométricos, 202</w:t>
      </w:r>
      <w:r w:rsidR="005F3B6E" w:rsidRPr="00F11EF5">
        <w:rPr>
          <w:rFonts w:ascii="Arial" w:hAnsi="Arial"/>
          <w:color w:val="auto"/>
          <w:sz w:val="16"/>
        </w:rPr>
        <w:t>4</w:t>
      </w:r>
      <w:r w:rsidRPr="00F11EF5">
        <w:rPr>
          <w:rFonts w:ascii="Arial" w:hAnsi="Arial"/>
          <w:color w:val="auto"/>
          <w:sz w:val="16"/>
        </w:rPr>
        <w:t>.</w:t>
      </w:r>
    </w:p>
    <w:p w14:paraId="199D9710" w14:textId="77777777" w:rsidR="00205C32" w:rsidRPr="00F11EF5" w:rsidRDefault="00205C32">
      <w:pPr>
        <w:jc w:val="left"/>
        <w:rPr>
          <w:b/>
          <w:i/>
          <w:szCs w:val="20"/>
          <w:lang w:val="es-MX"/>
        </w:rPr>
      </w:pPr>
      <w:r w:rsidRPr="00F11EF5">
        <w:rPr>
          <w:b/>
          <w:i/>
        </w:rPr>
        <w:br w:type="page"/>
      </w:r>
    </w:p>
    <w:p w14:paraId="6B1FD345" w14:textId="77777777" w:rsidR="0044026C" w:rsidRDefault="0044026C" w:rsidP="00EE7948">
      <w:pPr>
        <w:pStyle w:val="bulnot"/>
        <w:widowControl w:val="0"/>
        <w:spacing w:before="240"/>
        <w:ind w:left="567" w:right="567" w:firstLine="0"/>
        <w:rPr>
          <w:rFonts w:cs="Arial"/>
          <w:color w:val="auto"/>
          <w:sz w:val="24"/>
          <w:szCs w:val="24"/>
        </w:rPr>
      </w:pPr>
    </w:p>
    <w:p w14:paraId="4E7D2A27" w14:textId="625ED50A" w:rsidR="00095006" w:rsidRPr="00F11EF5" w:rsidRDefault="00095006" w:rsidP="00EE7948">
      <w:pPr>
        <w:pStyle w:val="bulnot"/>
        <w:widowControl w:val="0"/>
        <w:spacing w:before="240"/>
        <w:ind w:left="567" w:right="567" w:firstLine="0"/>
        <w:rPr>
          <w:rFonts w:cs="Arial"/>
          <w:b w:val="0"/>
          <w:color w:val="auto"/>
          <w:sz w:val="24"/>
          <w:szCs w:val="24"/>
        </w:rPr>
      </w:pPr>
      <w:r w:rsidRPr="00F11EF5">
        <w:rPr>
          <w:rFonts w:cs="Arial"/>
          <w:color w:val="auto"/>
          <w:sz w:val="24"/>
          <w:szCs w:val="24"/>
        </w:rPr>
        <w:t>Remuneraciones medias reales pagadas</w:t>
      </w:r>
      <w:r w:rsidR="0075747A" w:rsidRPr="00F11EF5">
        <w:rPr>
          <w:rFonts w:cs="Arial"/>
          <w:color w:val="auto"/>
          <w:spacing w:val="9"/>
          <w:sz w:val="24"/>
          <w:szCs w:val="24"/>
          <w:vertAlign w:val="superscript"/>
        </w:rPr>
        <w:footnoteReference w:id="4"/>
      </w:r>
    </w:p>
    <w:p w14:paraId="32C703E5" w14:textId="75CDE1DA" w:rsidR="00095006" w:rsidRPr="00F11EF5" w:rsidRDefault="00871A2D" w:rsidP="006F08D7">
      <w:pPr>
        <w:pStyle w:val="texto0"/>
        <w:keepLines w:val="0"/>
        <w:rPr>
          <w:rFonts w:cs="Arial"/>
          <w:color w:val="auto"/>
          <w:spacing w:val="-2"/>
        </w:rPr>
      </w:pPr>
      <w:r w:rsidRPr="00F11EF5">
        <w:rPr>
          <w:rFonts w:cs="Arial"/>
          <w:color w:val="auto"/>
        </w:rPr>
        <w:t xml:space="preserve">En </w:t>
      </w:r>
      <w:r w:rsidR="005F3490" w:rsidRPr="00F11EF5">
        <w:rPr>
          <w:rFonts w:cs="Arial"/>
          <w:color w:val="auto"/>
        </w:rPr>
        <w:t>febr</w:t>
      </w:r>
      <w:r w:rsidR="005F3B6E" w:rsidRPr="00F11EF5">
        <w:rPr>
          <w:rFonts w:cs="Arial"/>
          <w:color w:val="auto"/>
        </w:rPr>
        <w:t>ero</w:t>
      </w:r>
      <w:r w:rsidR="000B4414" w:rsidRPr="00F11EF5">
        <w:rPr>
          <w:rFonts w:cs="Arial"/>
          <w:color w:val="auto"/>
        </w:rPr>
        <w:t xml:space="preserve"> de</w:t>
      </w:r>
      <w:r w:rsidR="00A21D63" w:rsidRPr="00F11EF5">
        <w:rPr>
          <w:rFonts w:cs="Arial"/>
          <w:color w:val="auto"/>
        </w:rPr>
        <w:t xml:space="preserve"> </w:t>
      </w:r>
      <w:r w:rsidR="005F3490" w:rsidRPr="00F11EF5">
        <w:rPr>
          <w:rFonts w:cs="Arial"/>
          <w:color w:val="auto"/>
        </w:rPr>
        <w:t>este año</w:t>
      </w:r>
      <w:r w:rsidR="00405068" w:rsidRPr="00F11EF5">
        <w:rPr>
          <w:rFonts w:cs="Arial"/>
          <w:color w:val="auto"/>
        </w:rPr>
        <w:t>,</w:t>
      </w:r>
      <w:r w:rsidRPr="00F11EF5">
        <w:rPr>
          <w:rFonts w:cs="Arial"/>
          <w:color w:val="auto"/>
        </w:rPr>
        <w:t xml:space="preserve"> l</w:t>
      </w:r>
      <w:r w:rsidR="004916C9" w:rsidRPr="00F11EF5">
        <w:rPr>
          <w:rFonts w:cs="Arial"/>
          <w:color w:val="auto"/>
        </w:rPr>
        <w:t xml:space="preserve">as remuneraciones medias reales pagadas en </w:t>
      </w:r>
      <w:r w:rsidR="00A62498" w:rsidRPr="00F11EF5">
        <w:rPr>
          <w:rFonts w:cs="Arial"/>
          <w:color w:val="auto"/>
        </w:rPr>
        <w:t xml:space="preserve">el </w:t>
      </w:r>
      <w:r w:rsidR="005D4EB4" w:rsidRPr="00F11EF5">
        <w:rPr>
          <w:rFonts w:cs="Arial"/>
          <w:color w:val="auto"/>
        </w:rPr>
        <w:t>sector</w:t>
      </w:r>
      <w:r w:rsidR="005413CB" w:rsidRPr="00F11EF5">
        <w:rPr>
          <w:rFonts w:cs="Arial"/>
          <w:color w:val="auto"/>
        </w:rPr>
        <w:t xml:space="preserve"> </w:t>
      </w:r>
      <w:r w:rsidR="00EA3A9E" w:rsidRPr="00F11EF5">
        <w:rPr>
          <w:rFonts w:cs="Arial"/>
          <w:color w:val="auto"/>
        </w:rPr>
        <w:t xml:space="preserve">manufacturero </w:t>
      </w:r>
      <w:r w:rsidR="001B6FC9" w:rsidRPr="00F11EF5">
        <w:rPr>
          <w:rFonts w:cs="Arial"/>
          <w:color w:val="auto"/>
        </w:rPr>
        <w:t>incrementa</w:t>
      </w:r>
      <w:r w:rsidR="00A25BCB" w:rsidRPr="00F11EF5">
        <w:rPr>
          <w:rFonts w:cs="Arial"/>
          <w:color w:val="auto"/>
        </w:rPr>
        <w:t>ron</w:t>
      </w:r>
      <w:r w:rsidR="00EA3A9E" w:rsidRPr="00F11EF5">
        <w:rPr>
          <w:rFonts w:cs="Arial"/>
          <w:color w:val="auto"/>
        </w:rPr>
        <w:t xml:space="preserve"> </w:t>
      </w:r>
      <w:r w:rsidR="001B6FC9" w:rsidRPr="00F11EF5">
        <w:rPr>
          <w:rFonts w:cs="Arial"/>
          <w:color w:val="auto"/>
        </w:rPr>
        <w:t>1</w:t>
      </w:r>
      <w:r w:rsidR="00EC522D" w:rsidRPr="00F11EF5">
        <w:rPr>
          <w:rFonts w:cs="Arial"/>
          <w:color w:val="auto"/>
        </w:rPr>
        <w:t> %</w:t>
      </w:r>
      <w:r w:rsidR="007A373F" w:rsidRPr="00F11EF5">
        <w:rPr>
          <w:rFonts w:cs="Arial"/>
          <w:color w:val="auto"/>
        </w:rPr>
        <w:t xml:space="preserve"> </w:t>
      </w:r>
      <w:r w:rsidR="00A879B8" w:rsidRPr="00F11EF5">
        <w:rPr>
          <w:rFonts w:cs="Arial"/>
          <w:color w:val="auto"/>
        </w:rPr>
        <w:t>a tasa mensual</w:t>
      </w:r>
      <w:r w:rsidR="004916C9" w:rsidRPr="00F11EF5">
        <w:rPr>
          <w:rFonts w:cs="Arial"/>
          <w:color w:val="auto"/>
        </w:rPr>
        <w:t xml:space="preserve">. De manera desagregada, </w:t>
      </w:r>
      <w:r w:rsidR="00573569" w:rsidRPr="00F11EF5">
        <w:rPr>
          <w:rFonts w:cs="Arial"/>
          <w:color w:val="auto"/>
        </w:rPr>
        <w:t xml:space="preserve">las </w:t>
      </w:r>
      <w:r w:rsidR="00803B7F" w:rsidRPr="00F11EF5">
        <w:rPr>
          <w:rFonts w:cs="Arial"/>
          <w:color w:val="auto"/>
        </w:rPr>
        <w:t xml:space="preserve">pagadas </w:t>
      </w:r>
      <w:r w:rsidR="005E19CA" w:rsidRPr="00F11EF5">
        <w:rPr>
          <w:rFonts w:cs="Arial"/>
          <w:color w:val="auto"/>
        </w:rPr>
        <w:t xml:space="preserve">al personal dependiente de la razón social </w:t>
      </w:r>
      <w:r w:rsidR="001B6FC9" w:rsidRPr="00F11EF5">
        <w:rPr>
          <w:rFonts w:cs="Arial"/>
          <w:color w:val="auto"/>
        </w:rPr>
        <w:t>avanza</w:t>
      </w:r>
      <w:r w:rsidR="005E19CA" w:rsidRPr="00F11EF5">
        <w:rPr>
          <w:rFonts w:cs="Arial"/>
          <w:color w:val="auto"/>
        </w:rPr>
        <w:t xml:space="preserve">ron </w:t>
      </w:r>
      <w:r w:rsidR="001B6FC9" w:rsidRPr="00F11EF5">
        <w:rPr>
          <w:rFonts w:cs="Arial"/>
          <w:color w:val="auto"/>
        </w:rPr>
        <w:t xml:space="preserve">uno por ciento. </w:t>
      </w:r>
      <w:r w:rsidR="006851AC" w:rsidRPr="00F11EF5">
        <w:rPr>
          <w:rFonts w:cs="Arial"/>
          <w:color w:val="auto"/>
        </w:rPr>
        <w:t>L</w:t>
      </w:r>
      <w:r w:rsidR="005E19CA" w:rsidRPr="00F11EF5">
        <w:rPr>
          <w:rFonts w:cs="Arial"/>
          <w:color w:val="auto"/>
        </w:rPr>
        <w:t xml:space="preserve">os salarios pagados a las y los obreros y técnicos en producción </w:t>
      </w:r>
      <w:r w:rsidR="001B6FC9" w:rsidRPr="00F11EF5">
        <w:rPr>
          <w:rFonts w:cs="Arial"/>
          <w:color w:val="auto"/>
          <w:spacing w:val="-2"/>
        </w:rPr>
        <w:t>subie</w:t>
      </w:r>
      <w:r w:rsidR="005E19CA" w:rsidRPr="00F11EF5">
        <w:rPr>
          <w:rFonts w:cs="Arial"/>
          <w:color w:val="auto"/>
          <w:spacing w:val="-2"/>
        </w:rPr>
        <w:t xml:space="preserve">ron </w:t>
      </w:r>
      <w:r w:rsidR="00B06B40" w:rsidRPr="00F11EF5">
        <w:rPr>
          <w:rFonts w:cs="Arial"/>
          <w:color w:val="auto"/>
          <w:spacing w:val="-2"/>
        </w:rPr>
        <w:t>0.</w:t>
      </w:r>
      <w:r w:rsidR="001B6FC9" w:rsidRPr="00F11EF5">
        <w:rPr>
          <w:rFonts w:cs="Arial"/>
          <w:color w:val="auto"/>
          <w:spacing w:val="-2"/>
        </w:rPr>
        <w:t>4</w:t>
      </w:r>
      <w:r w:rsidR="00EC522D" w:rsidRPr="00F11EF5">
        <w:rPr>
          <w:rFonts w:cs="Arial"/>
          <w:color w:val="auto"/>
        </w:rPr>
        <w:t> %</w:t>
      </w:r>
      <w:r w:rsidR="008C7B4A">
        <w:rPr>
          <w:rFonts w:cs="Arial"/>
          <w:color w:val="auto"/>
        </w:rPr>
        <w:t>;</w:t>
      </w:r>
      <w:r w:rsidR="005E19CA" w:rsidRPr="00F11EF5">
        <w:rPr>
          <w:rFonts w:cs="Arial"/>
          <w:color w:val="auto"/>
        </w:rPr>
        <w:t xml:space="preserve"> </w:t>
      </w:r>
      <w:r w:rsidR="001B6FC9" w:rsidRPr="00F11EF5">
        <w:rPr>
          <w:rFonts w:cs="Arial"/>
          <w:color w:val="auto"/>
          <w:spacing w:val="-2"/>
        </w:rPr>
        <w:t>las prestaciones sociales</w:t>
      </w:r>
      <w:r w:rsidR="001B6FC9" w:rsidRPr="00F11EF5">
        <w:rPr>
          <w:rFonts w:cs="Arial"/>
          <w:color w:val="auto"/>
          <w:spacing w:val="-2"/>
          <w:szCs w:val="24"/>
        </w:rPr>
        <w:t>, contribuciones y utilidades,</w:t>
      </w:r>
      <w:r w:rsidR="001B6FC9" w:rsidRPr="00F11EF5">
        <w:rPr>
          <w:rFonts w:cs="Arial"/>
          <w:color w:val="auto"/>
          <w:spacing w:val="-2"/>
        </w:rPr>
        <w:t xml:space="preserve"> 2.3</w:t>
      </w:r>
      <w:r w:rsidR="001B6FC9" w:rsidRPr="00F11EF5">
        <w:rPr>
          <w:rFonts w:cs="Arial"/>
          <w:color w:val="auto"/>
        </w:rPr>
        <w:t> </w:t>
      </w:r>
      <w:r w:rsidR="00F16AAC" w:rsidRPr="00F11EF5">
        <w:rPr>
          <w:rFonts w:cs="Arial"/>
          <w:color w:val="auto"/>
        </w:rPr>
        <w:t>% y l</w:t>
      </w:r>
      <w:r w:rsidR="005E19CA" w:rsidRPr="00F11EF5">
        <w:rPr>
          <w:rFonts w:cs="Arial"/>
          <w:color w:val="auto"/>
        </w:rPr>
        <w:t xml:space="preserve">os sueldos pagados a las y los empleados administrativos, </w:t>
      </w:r>
      <w:r w:rsidR="005E19CA" w:rsidRPr="00F11EF5">
        <w:rPr>
          <w:rFonts w:cs="Arial"/>
          <w:color w:val="auto"/>
          <w:spacing w:val="-2"/>
        </w:rPr>
        <w:t>contables y de dirección</w:t>
      </w:r>
      <w:r w:rsidR="001B6FC9" w:rsidRPr="00F11EF5">
        <w:rPr>
          <w:rFonts w:cs="Arial"/>
          <w:color w:val="auto"/>
          <w:spacing w:val="-2"/>
        </w:rPr>
        <w:t xml:space="preserve"> no presentaron variación</w:t>
      </w:r>
      <w:r w:rsidR="001B6FC9" w:rsidRPr="00F11EF5">
        <w:rPr>
          <w:rFonts w:cs="Arial"/>
          <w:color w:val="auto"/>
        </w:rPr>
        <w:t>.</w:t>
      </w:r>
      <w:r w:rsidR="00F16AAC" w:rsidRPr="00F11EF5">
        <w:rPr>
          <w:rFonts w:cs="Arial"/>
          <w:color w:val="auto"/>
        </w:rPr>
        <w:t xml:space="preserve"> Las correspondientes al personal no dependiente descendieron 0.2 por ciento.</w:t>
      </w:r>
    </w:p>
    <w:p w14:paraId="70BB34C2" w14:textId="77777777" w:rsidR="0044026C" w:rsidRDefault="0044026C" w:rsidP="006F08D7">
      <w:pPr>
        <w:pStyle w:val="p0"/>
        <w:keepLines w:val="0"/>
        <w:jc w:val="center"/>
        <w:rPr>
          <w:rFonts w:ascii="Arial" w:hAnsi="Arial"/>
          <w:color w:val="auto"/>
          <w:sz w:val="20"/>
          <w:szCs w:val="22"/>
        </w:rPr>
      </w:pPr>
    </w:p>
    <w:p w14:paraId="17ED26FC" w14:textId="3EF8FAD3" w:rsidR="00095006" w:rsidRPr="00F11EF5" w:rsidRDefault="00095006" w:rsidP="006F08D7">
      <w:pPr>
        <w:pStyle w:val="p0"/>
        <w:keepLines w:val="0"/>
        <w:jc w:val="center"/>
        <w:rPr>
          <w:rFonts w:ascii="Arial" w:hAnsi="Arial"/>
          <w:color w:val="auto"/>
          <w:sz w:val="20"/>
          <w:szCs w:val="22"/>
        </w:rPr>
      </w:pPr>
      <w:r w:rsidRPr="00F11EF5">
        <w:rPr>
          <w:rFonts w:ascii="Arial" w:hAnsi="Arial"/>
          <w:color w:val="auto"/>
          <w:sz w:val="20"/>
          <w:szCs w:val="22"/>
        </w:rPr>
        <w:t>Gráfica 3</w:t>
      </w:r>
    </w:p>
    <w:p w14:paraId="43B7C966" w14:textId="461C5E25" w:rsidR="00EA3030" w:rsidRPr="00F11EF5" w:rsidRDefault="005F3B6E" w:rsidP="00F9049D">
      <w:pPr>
        <w:pStyle w:val="p0"/>
        <w:keepLines w:val="0"/>
        <w:spacing w:before="0"/>
        <w:ind w:hanging="11"/>
        <w:jc w:val="center"/>
        <w:rPr>
          <w:rFonts w:ascii="Arial" w:hAnsi="Arial"/>
          <w:b/>
          <w:smallCaps/>
          <w:color w:val="auto"/>
          <w:sz w:val="22"/>
          <w:szCs w:val="22"/>
        </w:rPr>
      </w:pPr>
      <w:r w:rsidRPr="00F11EF5">
        <w:rPr>
          <w:rFonts w:ascii="Arial" w:hAnsi="Arial"/>
          <w:b/>
          <w:smallCaps/>
          <w:color w:val="auto"/>
          <w:sz w:val="22"/>
          <w:szCs w:val="22"/>
        </w:rPr>
        <w:t xml:space="preserve">serie desestacionalizada y de tendencia-ciclo </w:t>
      </w:r>
      <w:r w:rsidRPr="00F11EF5">
        <w:rPr>
          <w:rFonts w:ascii="Arial" w:hAnsi="Arial"/>
          <w:b/>
          <w:smallCaps/>
          <w:color w:val="auto"/>
          <w:sz w:val="22"/>
          <w:szCs w:val="22"/>
        </w:rPr>
        <w:br/>
        <w:t>de las remuneraciones medias reales pagadas</w:t>
      </w:r>
    </w:p>
    <w:p w14:paraId="3389FAA0" w14:textId="535D37D6" w:rsidR="00095006" w:rsidRPr="00F11EF5" w:rsidRDefault="00EA3030" w:rsidP="00F9049D">
      <w:pPr>
        <w:pStyle w:val="p0"/>
        <w:keepLines w:val="0"/>
        <w:spacing w:before="0"/>
        <w:ind w:hanging="11"/>
        <w:jc w:val="center"/>
        <w:rPr>
          <w:rFonts w:ascii="Arial" w:hAnsi="Arial"/>
          <w:noProof/>
          <w:color w:val="auto"/>
          <w:lang w:val="es-MX" w:eastAsia="es-MX"/>
        </w:rPr>
      </w:pPr>
      <w:r w:rsidRPr="00F11EF5">
        <w:rPr>
          <w:rFonts w:ascii="Arial" w:hAnsi="Arial"/>
          <w:bCs/>
          <w:color w:val="auto"/>
          <w:sz w:val="20"/>
          <w:szCs w:val="20"/>
        </w:rPr>
        <w:t xml:space="preserve">a </w:t>
      </w:r>
      <w:r w:rsidR="005F3490" w:rsidRPr="00F11EF5">
        <w:rPr>
          <w:rFonts w:ascii="Arial" w:hAnsi="Arial"/>
          <w:bCs/>
          <w:color w:val="auto"/>
          <w:sz w:val="20"/>
          <w:szCs w:val="20"/>
        </w:rPr>
        <w:t>febr</w:t>
      </w:r>
      <w:r w:rsidRPr="00F11EF5">
        <w:rPr>
          <w:rFonts w:ascii="Arial" w:hAnsi="Arial"/>
          <w:bCs/>
          <w:color w:val="auto"/>
          <w:sz w:val="20"/>
          <w:szCs w:val="20"/>
        </w:rPr>
        <w:t>e</w:t>
      </w:r>
      <w:r w:rsidR="005F3B6E" w:rsidRPr="00F11EF5">
        <w:rPr>
          <w:rFonts w:ascii="Arial" w:hAnsi="Arial"/>
          <w:bCs/>
          <w:color w:val="auto"/>
          <w:sz w:val="20"/>
          <w:szCs w:val="20"/>
        </w:rPr>
        <w:t>ro</w:t>
      </w:r>
      <w:r w:rsidRPr="00F11EF5">
        <w:rPr>
          <w:rFonts w:ascii="Arial" w:hAnsi="Arial"/>
          <w:bCs/>
          <w:color w:val="auto"/>
          <w:sz w:val="20"/>
          <w:szCs w:val="20"/>
        </w:rPr>
        <w:t xml:space="preserve"> de 202</w:t>
      </w:r>
      <w:r w:rsidR="005F3B6E" w:rsidRPr="00F11EF5">
        <w:rPr>
          <w:rFonts w:ascii="Arial" w:hAnsi="Arial"/>
          <w:bCs/>
          <w:color w:val="auto"/>
          <w:sz w:val="20"/>
          <w:szCs w:val="20"/>
        </w:rPr>
        <w:t>4</w:t>
      </w:r>
      <w:r w:rsidR="00095006" w:rsidRPr="00F11EF5">
        <w:rPr>
          <w:rFonts w:ascii="Arial" w:hAnsi="Arial"/>
          <w:b/>
          <w:smallCaps/>
          <w:color w:val="auto"/>
          <w:sz w:val="22"/>
          <w:szCs w:val="22"/>
        </w:rPr>
        <w:br/>
      </w:r>
      <w:r w:rsidR="005F4BF2" w:rsidRPr="00F11EF5">
        <w:rPr>
          <w:rFonts w:ascii="Arial" w:hAnsi="Arial"/>
          <w:color w:val="auto"/>
          <w:sz w:val="18"/>
        </w:rPr>
        <w:t>(</w:t>
      </w:r>
      <w:r w:rsidRPr="00F11EF5">
        <w:rPr>
          <w:rFonts w:ascii="Arial" w:hAnsi="Arial"/>
          <w:color w:val="auto"/>
          <w:sz w:val="18"/>
        </w:rPr>
        <w:t>í</w:t>
      </w:r>
      <w:r w:rsidR="005F4BF2" w:rsidRPr="00F11EF5">
        <w:rPr>
          <w:rFonts w:ascii="Arial" w:hAnsi="Arial"/>
          <w:color w:val="auto"/>
          <w:sz w:val="18"/>
        </w:rPr>
        <w:t>ndice 201</w:t>
      </w:r>
      <w:r w:rsidR="000E3B67" w:rsidRPr="00F11EF5">
        <w:rPr>
          <w:rFonts w:ascii="Arial" w:hAnsi="Arial"/>
          <w:color w:val="auto"/>
          <w:sz w:val="18"/>
        </w:rPr>
        <w:t>8</w:t>
      </w:r>
      <w:r w:rsidR="005F4BF2" w:rsidRPr="00F11EF5">
        <w:rPr>
          <w:rFonts w:ascii="Arial" w:hAnsi="Arial"/>
          <w:color w:val="auto"/>
          <w:sz w:val="18"/>
        </w:rPr>
        <w:t>=100)</w:t>
      </w:r>
      <w:r w:rsidR="0066308D" w:rsidRPr="00F11EF5">
        <w:rPr>
          <w:rFonts w:ascii="Arial" w:hAnsi="Arial"/>
          <w:noProof/>
          <w:color w:val="auto"/>
          <w:lang w:val="es-MX" w:eastAsia="es-MX"/>
        </w:rPr>
        <w:t xml:space="preserve"> </w:t>
      </w:r>
    </w:p>
    <w:p w14:paraId="768E10A2" w14:textId="125F0DB9" w:rsidR="00851B11" w:rsidRPr="00F11EF5" w:rsidRDefault="001B6FC9" w:rsidP="0D062C30">
      <w:pPr>
        <w:widowControl w:val="0"/>
        <w:jc w:val="center"/>
        <w:rPr>
          <w:sz w:val="18"/>
          <w:szCs w:val="18"/>
        </w:rPr>
      </w:pPr>
      <w:r w:rsidRPr="00F11EF5">
        <w:rPr>
          <w:noProof/>
        </w:rPr>
        <w:drawing>
          <wp:inline distT="0" distB="0" distL="0" distR="0" wp14:anchorId="639E32B8" wp14:editId="572115E2">
            <wp:extent cx="5400000" cy="2880000"/>
            <wp:effectExtent l="0" t="0" r="29845" b="34925"/>
            <wp:docPr id="60287243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700AB52" w14:textId="310FB1DC" w:rsidR="00426944" w:rsidRPr="00F11EF5" w:rsidRDefault="00426944" w:rsidP="00426944">
      <w:pPr>
        <w:pStyle w:val="p0"/>
        <w:keepLines w:val="0"/>
        <w:spacing w:before="0"/>
        <w:ind w:left="1428" w:right="805" w:hanging="577"/>
        <w:rPr>
          <w:rFonts w:ascii="Arial" w:hAnsi="Arial"/>
          <w:color w:val="auto"/>
          <w:sz w:val="16"/>
        </w:rPr>
      </w:pPr>
      <w:r w:rsidRPr="00F11EF5">
        <w:rPr>
          <w:rFonts w:ascii="Arial" w:hAnsi="Arial"/>
          <w:color w:val="auto"/>
          <w:sz w:val="16"/>
        </w:rPr>
        <w:t>Fuente:</w:t>
      </w:r>
      <w:r w:rsidRPr="00F11EF5">
        <w:rPr>
          <w:rFonts w:ascii="Arial" w:hAnsi="Arial"/>
          <w:color w:val="auto"/>
          <w:sz w:val="16"/>
        </w:rPr>
        <w:tab/>
      </w:r>
      <w:r w:rsidRPr="00F11EF5">
        <w:rPr>
          <w:rFonts w:ascii="Arial" w:hAnsi="Arial"/>
          <w:smallCaps/>
          <w:color w:val="auto"/>
          <w:sz w:val="16"/>
        </w:rPr>
        <w:t>inegi</w:t>
      </w:r>
      <w:r w:rsidRPr="00F11EF5">
        <w:rPr>
          <w:rFonts w:ascii="Arial" w:hAnsi="Arial"/>
          <w:color w:val="auto"/>
          <w:sz w:val="16"/>
        </w:rPr>
        <w:t xml:space="preserve">. </w:t>
      </w:r>
      <w:r w:rsidRPr="00F11EF5">
        <w:rPr>
          <w:rFonts w:ascii="Arial" w:hAnsi="Arial"/>
          <w:smallCaps/>
          <w:color w:val="auto"/>
          <w:sz w:val="16"/>
        </w:rPr>
        <w:t>emim</w:t>
      </w:r>
      <w:r w:rsidRPr="00F11EF5">
        <w:rPr>
          <w:rFonts w:ascii="Arial" w:hAnsi="Arial"/>
          <w:color w:val="auto"/>
          <w:sz w:val="16"/>
          <w:szCs w:val="16"/>
        </w:rPr>
        <w:t>.</w:t>
      </w:r>
      <w:r w:rsidRPr="00F11EF5">
        <w:rPr>
          <w:rFonts w:ascii="Arial" w:hAnsi="Arial"/>
          <w:b/>
          <w:color w:val="auto"/>
          <w:sz w:val="16"/>
          <w:szCs w:val="16"/>
        </w:rPr>
        <w:t xml:space="preserve"> </w:t>
      </w:r>
      <w:r w:rsidRPr="00F11EF5">
        <w:rPr>
          <w:rFonts w:ascii="Arial" w:hAnsi="Arial"/>
          <w:color w:val="auto"/>
          <w:sz w:val="16"/>
        </w:rPr>
        <w:t>Series elaboradas mediante métodos econométricos, 202</w:t>
      </w:r>
      <w:r w:rsidR="005F3B6E" w:rsidRPr="00F11EF5">
        <w:rPr>
          <w:rFonts w:ascii="Arial" w:hAnsi="Arial"/>
          <w:color w:val="auto"/>
          <w:sz w:val="16"/>
        </w:rPr>
        <w:t>4</w:t>
      </w:r>
      <w:r w:rsidRPr="00F11EF5">
        <w:rPr>
          <w:rFonts w:ascii="Arial" w:hAnsi="Arial"/>
          <w:color w:val="auto"/>
          <w:sz w:val="16"/>
        </w:rPr>
        <w:t>.</w:t>
      </w:r>
    </w:p>
    <w:p w14:paraId="5013828D" w14:textId="77777777" w:rsidR="00E0607C" w:rsidRPr="00F11EF5" w:rsidRDefault="00E0607C">
      <w:pPr>
        <w:jc w:val="left"/>
        <w:rPr>
          <w:b/>
          <w:i/>
          <w:spacing w:val="10"/>
          <w:lang w:val="es-MX"/>
        </w:rPr>
      </w:pPr>
      <w:r w:rsidRPr="00F11EF5">
        <w:rPr>
          <w:i/>
        </w:rPr>
        <w:br w:type="page"/>
      </w:r>
    </w:p>
    <w:p w14:paraId="4AC8BB05" w14:textId="23A9DB8E" w:rsidR="00095006" w:rsidRPr="00F11EF5" w:rsidRDefault="00FD21EE" w:rsidP="003158C1">
      <w:pPr>
        <w:pStyle w:val="bulnot"/>
        <w:widowControl w:val="0"/>
        <w:numPr>
          <w:ilvl w:val="0"/>
          <w:numId w:val="22"/>
        </w:numPr>
        <w:spacing w:before="240"/>
        <w:ind w:left="0" w:right="0" w:firstLine="0"/>
        <w:jc w:val="center"/>
        <w:rPr>
          <w:rFonts w:cs="Arial"/>
          <w:b w:val="0"/>
          <w:smallCaps/>
          <w:color w:val="auto"/>
          <w:spacing w:val="0"/>
          <w:sz w:val="24"/>
          <w:szCs w:val="24"/>
        </w:rPr>
      </w:pPr>
      <w:r w:rsidRPr="00F11EF5">
        <w:rPr>
          <w:rFonts w:cs="Arial"/>
          <w:smallCaps/>
          <w:color w:val="auto"/>
          <w:spacing w:val="0"/>
          <w:sz w:val="24"/>
          <w:szCs w:val="24"/>
        </w:rPr>
        <w:lastRenderedPageBreak/>
        <w:t xml:space="preserve"> </w:t>
      </w:r>
      <w:r w:rsidR="002113F3" w:rsidRPr="00F11EF5">
        <w:rPr>
          <w:rFonts w:cs="Arial"/>
          <w:smallCaps/>
          <w:color w:val="auto"/>
          <w:spacing w:val="0"/>
          <w:sz w:val="24"/>
          <w:szCs w:val="24"/>
        </w:rPr>
        <w:t xml:space="preserve">cifras </w:t>
      </w:r>
      <w:r w:rsidR="005A02AB" w:rsidRPr="00F11EF5">
        <w:rPr>
          <w:rFonts w:cs="Arial"/>
          <w:smallCaps/>
          <w:color w:val="auto"/>
          <w:spacing w:val="0"/>
          <w:sz w:val="24"/>
          <w:szCs w:val="24"/>
        </w:rPr>
        <w:t>originales</w:t>
      </w:r>
    </w:p>
    <w:p w14:paraId="11BB9D30" w14:textId="47E00B03" w:rsidR="00095006" w:rsidRPr="00F11EF5" w:rsidRDefault="00095006" w:rsidP="004607D2">
      <w:pPr>
        <w:pStyle w:val="Ttulo4"/>
        <w:keepNext w:val="0"/>
        <w:keepLines w:val="0"/>
        <w:spacing w:before="360"/>
        <w:jc w:val="center"/>
        <w:rPr>
          <w:rFonts w:ascii="Arial" w:hAnsi="Arial" w:cs="Arial"/>
          <w:i w:val="0"/>
          <w:color w:val="auto"/>
          <w:szCs w:val="22"/>
        </w:rPr>
      </w:pPr>
      <w:r w:rsidRPr="00F11EF5">
        <w:rPr>
          <w:rFonts w:ascii="Arial" w:hAnsi="Arial" w:cs="Arial"/>
          <w:i w:val="0"/>
          <w:color w:val="auto"/>
          <w:sz w:val="20"/>
          <w:szCs w:val="22"/>
        </w:rPr>
        <w:t xml:space="preserve">Cuadro </w:t>
      </w:r>
      <w:r w:rsidR="0044026C">
        <w:rPr>
          <w:rFonts w:ascii="Arial" w:hAnsi="Arial" w:cs="Arial"/>
          <w:i w:val="0"/>
          <w:color w:val="auto"/>
          <w:sz w:val="20"/>
          <w:szCs w:val="22"/>
        </w:rPr>
        <w:t>1</w:t>
      </w:r>
    </w:p>
    <w:p w14:paraId="3E7FC768" w14:textId="04B59838" w:rsidR="00B31B04" w:rsidRPr="00F11EF5" w:rsidRDefault="002113F3" w:rsidP="00036448">
      <w:pPr>
        <w:pStyle w:val="Ttulo4"/>
        <w:keepNext w:val="0"/>
        <w:keepLines w:val="0"/>
        <w:spacing w:before="0"/>
        <w:jc w:val="center"/>
        <w:rPr>
          <w:rFonts w:ascii="Arial" w:hAnsi="Arial" w:cs="Arial"/>
          <w:b/>
          <w:i w:val="0"/>
          <w:smallCaps/>
          <w:color w:val="auto"/>
          <w:sz w:val="22"/>
          <w:szCs w:val="22"/>
        </w:rPr>
      </w:pPr>
      <w:r w:rsidRPr="00F11EF5">
        <w:rPr>
          <w:rFonts w:ascii="Arial" w:hAnsi="Arial" w:cs="Arial"/>
          <w:b/>
          <w:i w:val="0"/>
          <w:smallCaps/>
          <w:color w:val="auto"/>
          <w:sz w:val="22"/>
          <w:szCs w:val="22"/>
        </w:rPr>
        <w:t>variación de los indicadores del sector manufacturero y por subsector</w:t>
      </w:r>
    </w:p>
    <w:p w14:paraId="658A0344" w14:textId="5113E791" w:rsidR="00095006" w:rsidRPr="00F11EF5" w:rsidRDefault="005F3490" w:rsidP="008775BD">
      <w:pPr>
        <w:pStyle w:val="Ttulo4"/>
        <w:keepNext w:val="0"/>
        <w:keepLines w:val="0"/>
        <w:spacing w:before="0"/>
        <w:jc w:val="center"/>
        <w:rPr>
          <w:rFonts w:ascii="Arial" w:hAnsi="Arial" w:cs="Arial"/>
          <w:bCs/>
          <w:i w:val="0"/>
          <w:color w:val="auto"/>
          <w:sz w:val="20"/>
          <w:szCs w:val="20"/>
        </w:rPr>
      </w:pPr>
      <w:r w:rsidRPr="00F11EF5">
        <w:rPr>
          <w:rFonts w:ascii="Arial" w:hAnsi="Arial" w:cs="Arial"/>
          <w:bCs/>
          <w:i w:val="0"/>
          <w:color w:val="auto"/>
          <w:sz w:val="20"/>
          <w:szCs w:val="20"/>
        </w:rPr>
        <w:t>febr</w:t>
      </w:r>
      <w:r w:rsidR="00EA3030" w:rsidRPr="00F11EF5">
        <w:rPr>
          <w:rFonts w:ascii="Arial" w:hAnsi="Arial" w:cs="Arial"/>
          <w:bCs/>
          <w:i w:val="0"/>
          <w:color w:val="auto"/>
          <w:sz w:val="20"/>
          <w:szCs w:val="20"/>
        </w:rPr>
        <w:t>e</w:t>
      </w:r>
      <w:r w:rsidR="002113F3" w:rsidRPr="00F11EF5">
        <w:rPr>
          <w:rFonts w:ascii="Arial" w:hAnsi="Arial" w:cs="Arial"/>
          <w:bCs/>
          <w:i w:val="0"/>
          <w:color w:val="auto"/>
          <w:sz w:val="20"/>
          <w:szCs w:val="20"/>
        </w:rPr>
        <w:t>ro</w:t>
      </w:r>
      <w:r w:rsidR="00EA3030" w:rsidRPr="00F11EF5">
        <w:rPr>
          <w:rFonts w:ascii="Arial" w:hAnsi="Arial" w:cs="Arial"/>
          <w:bCs/>
          <w:i w:val="0"/>
          <w:color w:val="auto"/>
          <w:position w:val="2"/>
          <w:sz w:val="20"/>
          <w:szCs w:val="20"/>
          <w:vertAlign w:val="superscript"/>
        </w:rPr>
        <w:t>p/</w:t>
      </w:r>
      <w:r w:rsidR="00EA3030" w:rsidRPr="00F11EF5">
        <w:rPr>
          <w:rFonts w:ascii="Arial" w:hAnsi="Arial" w:cs="Arial"/>
          <w:bCs/>
          <w:i w:val="0"/>
          <w:color w:val="auto"/>
          <w:sz w:val="20"/>
          <w:szCs w:val="20"/>
        </w:rPr>
        <w:t xml:space="preserve"> de 202</w:t>
      </w:r>
      <w:r w:rsidR="002113F3" w:rsidRPr="00F11EF5">
        <w:rPr>
          <w:rFonts w:ascii="Arial" w:hAnsi="Arial" w:cs="Arial"/>
          <w:bCs/>
          <w:i w:val="0"/>
          <w:color w:val="auto"/>
          <w:sz w:val="20"/>
          <w:szCs w:val="20"/>
        </w:rPr>
        <w:t>4</w:t>
      </w:r>
    </w:p>
    <w:p w14:paraId="7C23BA4D" w14:textId="1EEC1BC3" w:rsidR="00EA3030" w:rsidRPr="00F11EF5" w:rsidRDefault="00EA3030" w:rsidP="00EA3030">
      <w:pPr>
        <w:jc w:val="center"/>
        <w:rPr>
          <w:bCs/>
          <w:sz w:val="18"/>
          <w:szCs w:val="18"/>
        </w:rPr>
      </w:pPr>
      <w:r w:rsidRPr="00F11EF5">
        <w:rPr>
          <w:bCs/>
          <w:sz w:val="18"/>
          <w:szCs w:val="18"/>
        </w:rPr>
        <w:t>(variación porcentual anual)</w:t>
      </w:r>
    </w:p>
    <w:tbl>
      <w:tblPr>
        <w:tblStyle w:val="Tablaconcuadrcul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6"/>
        <w:gridCol w:w="440"/>
        <w:gridCol w:w="5844"/>
        <w:gridCol w:w="1121"/>
        <w:gridCol w:w="1121"/>
        <w:gridCol w:w="1122"/>
      </w:tblGrid>
      <w:tr w:rsidR="00C168B2" w:rsidRPr="00F11EF5" w14:paraId="46DDF086" w14:textId="77777777" w:rsidTr="00D265B4">
        <w:trPr>
          <w:trHeight w:val="580"/>
          <w:jc w:val="center"/>
        </w:trPr>
        <w:tc>
          <w:tcPr>
            <w:tcW w:w="6590" w:type="dxa"/>
            <w:gridSpan w:val="3"/>
            <w:tcBorders>
              <w:top w:val="single" w:sz="8" w:space="0" w:color="1F497D" w:themeColor="text2"/>
              <w:left w:val="single" w:sz="8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 w:themeFill="text2" w:themeFillTint="33"/>
            <w:vAlign w:val="center"/>
            <w:hideMark/>
          </w:tcPr>
          <w:p w14:paraId="3BBFFE71" w14:textId="2D36C810" w:rsidR="00C168B2" w:rsidRPr="00F11EF5" w:rsidRDefault="004C556F" w:rsidP="00654B0E">
            <w:pPr>
              <w:snapToGrid w:val="0"/>
              <w:spacing w:before="60" w:after="60"/>
              <w:ind w:firstLine="811"/>
              <w:jc w:val="lef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Indicador</w:t>
            </w:r>
            <w:r w:rsidR="001650EC" w:rsidRPr="00F11EF5">
              <w:rPr>
                <w:sz w:val="18"/>
                <w:szCs w:val="18"/>
                <w:lang w:val="es-MX" w:eastAsia="es-MX"/>
              </w:rPr>
              <w:t>es</w:t>
            </w:r>
            <w:r w:rsidR="002D4583" w:rsidRPr="00F11EF5">
              <w:rPr>
                <w:sz w:val="18"/>
                <w:szCs w:val="18"/>
                <w:lang w:val="es-MX" w:eastAsia="es-MX"/>
              </w:rPr>
              <w:t>, sector</w:t>
            </w:r>
            <w:r w:rsidRPr="00F11EF5">
              <w:rPr>
                <w:sz w:val="18"/>
                <w:szCs w:val="18"/>
                <w:lang w:val="es-MX" w:eastAsia="es-MX"/>
              </w:rPr>
              <w:t xml:space="preserve"> y s</w:t>
            </w:r>
            <w:r w:rsidR="00C168B2" w:rsidRPr="00F11EF5">
              <w:rPr>
                <w:sz w:val="18"/>
                <w:szCs w:val="18"/>
                <w:lang w:val="es-MX" w:eastAsia="es-MX"/>
              </w:rPr>
              <w:t>ubsectores</w:t>
            </w:r>
          </w:p>
        </w:tc>
        <w:tc>
          <w:tcPr>
            <w:tcW w:w="1121" w:type="dxa"/>
            <w:tcBorders>
              <w:top w:val="single" w:sz="8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 w:themeFill="text2" w:themeFillTint="33"/>
            <w:hideMark/>
          </w:tcPr>
          <w:p w14:paraId="4F90FB1C" w14:textId="527C7BF0" w:rsidR="00C168B2" w:rsidRPr="00F11EF5" w:rsidRDefault="00C168B2" w:rsidP="00654B0E">
            <w:pPr>
              <w:tabs>
                <w:tab w:val="left" w:pos="993"/>
              </w:tabs>
              <w:snapToGrid w:val="0"/>
              <w:spacing w:before="60" w:after="60"/>
              <w:ind w:left="-130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Personal ocupado</w:t>
            </w:r>
            <w:r w:rsidRPr="00F11EF5">
              <w:rPr>
                <w:sz w:val="18"/>
                <w:szCs w:val="18"/>
                <w:vertAlign w:val="superscript"/>
                <w:lang w:val="es-MX" w:eastAsia="es-MX"/>
              </w:rPr>
              <w:br/>
            </w:r>
          </w:p>
        </w:tc>
        <w:tc>
          <w:tcPr>
            <w:tcW w:w="1121" w:type="dxa"/>
            <w:tcBorders>
              <w:top w:val="single" w:sz="8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 w:themeFill="text2" w:themeFillTint="33"/>
            <w:hideMark/>
          </w:tcPr>
          <w:p w14:paraId="07FE34A5" w14:textId="77777777" w:rsidR="00C168B2" w:rsidRPr="00F11EF5" w:rsidRDefault="00C168B2" w:rsidP="00654B0E">
            <w:pPr>
              <w:tabs>
                <w:tab w:val="left" w:pos="993"/>
              </w:tabs>
              <w:snapToGrid w:val="0"/>
              <w:spacing w:before="60" w:after="60"/>
              <w:ind w:left="-113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Horas trabajadas</w:t>
            </w:r>
          </w:p>
        </w:tc>
        <w:tc>
          <w:tcPr>
            <w:tcW w:w="1122" w:type="dxa"/>
            <w:tcBorders>
              <w:top w:val="single" w:sz="8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8" w:space="0" w:color="1F497D" w:themeColor="text2"/>
            </w:tcBorders>
            <w:shd w:val="clear" w:color="auto" w:fill="C6D9F1" w:themeFill="text2" w:themeFillTint="33"/>
            <w:hideMark/>
          </w:tcPr>
          <w:p w14:paraId="3E365EC1" w14:textId="77777777" w:rsidR="00C168B2" w:rsidRPr="00F11EF5" w:rsidRDefault="00C168B2" w:rsidP="00654B0E">
            <w:pPr>
              <w:snapToGrid w:val="0"/>
              <w:spacing w:before="60" w:after="60"/>
              <w:ind w:left="-113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Remunera-</w:t>
            </w:r>
            <w:proofErr w:type="spellStart"/>
            <w:r w:rsidRPr="00F11EF5">
              <w:rPr>
                <w:sz w:val="18"/>
                <w:szCs w:val="18"/>
                <w:lang w:val="es-MX" w:eastAsia="es-MX"/>
              </w:rPr>
              <w:t>ciones</w:t>
            </w:r>
            <w:proofErr w:type="spellEnd"/>
            <w:r w:rsidRPr="00F11EF5">
              <w:rPr>
                <w:sz w:val="18"/>
                <w:szCs w:val="18"/>
                <w:vertAlign w:val="superscript"/>
                <w:lang w:val="es-MX" w:eastAsia="es-MX"/>
              </w:rPr>
              <w:t xml:space="preserve"> </w:t>
            </w:r>
            <w:r w:rsidRPr="00F11EF5">
              <w:rPr>
                <w:sz w:val="18"/>
                <w:szCs w:val="18"/>
                <w:vertAlign w:val="superscript"/>
                <w:lang w:val="es-MX" w:eastAsia="es-MX"/>
              </w:rPr>
              <w:br/>
            </w:r>
            <w:r w:rsidRPr="00F11EF5">
              <w:rPr>
                <w:sz w:val="18"/>
                <w:szCs w:val="18"/>
                <w:lang w:val="es-MX" w:eastAsia="es-MX"/>
              </w:rPr>
              <w:t>medias</w:t>
            </w:r>
            <w:r w:rsidRPr="00F11EF5">
              <w:rPr>
                <w:sz w:val="18"/>
                <w:szCs w:val="18"/>
                <w:vertAlign w:val="superscript"/>
                <w:lang w:val="es-MX" w:eastAsia="es-MX"/>
              </w:rPr>
              <w:t>1/</w:t>
            </w:r>
          </w:p>
        </w:tc>
      </w:tr>
      <w:tr w:rsidR="00C7460A" w:rsidRPr="00F11EF5" w14:paraId="40EB1C7F" w14:textId="77777777" w:rsidTr="00C7460A">
        <w:trPr>
          <w:jc w:val="center"/>
        </w:trPr>
        <w:tc>
          <w:tcPr>
            <w:tcW w:w="306" w:type="dxa"/>
            <w:tcBorders>
              <w:top w:val="single" w:sz="6" w:space="0" w:color="1F497D" w:themeColor="text2"/>
              <w:left w:val="single" w:sz="8" w:space="0" w:color="1F497D" w:themeColor="text2"/>
              <w:bottom w:val="nil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4B61196C" w14:textId="77777777" w:rsidR="00C7460A" w:rsidRPr="00F11EF5" w:rsidRDefault="00C7460A" w:rsidP="00C7460A">
            <w:pPr>
              <w:snapToGrid w:val="0"/>
              <w:spacing w:before="20" w:after="20"/>
              <w:ind w:left="115"/>
              <w:jc w:val="left"/>
              <w:rPr>
                <w:b/>
                <w:sz w:val="18"/>
                <w:szCs w:val="18"/>
                <w:lang w:val="es-MX" w:eastAsia="es-MX"/>
              </w:rPr>
            </w:pPr>
          </w:p>
        </w:tc>
        <w:tc>
          <w:tcPr>
            <w:tcW w:w="6284" w:type="dxa"/>
            <w:gridSpan w:val="2"/>
            <w:tcBorders>
              <w:top w:val="single" w:sz="6" w:space="0" w:color="1F497D" w:themeColor="text2"/>
              <w:left w:val="nil"/>
              <w:bottom w:val="nil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67192EC8" w14:textId="0DD598A9" w:rsidR="00C7460A" w:rsidRPr="00F11EF5" w:rsidRDefault="00C7460A" w:rsidP="00C7460A">
            <w:pPr>
              <w:snapToGrid w:val="0"/>
              <w:spacing w:before="20" w:after="20"/>
              <w:ind w:left="-106"/>
              <w:rPr>
                <w:b/>
                <w:sz w:val="18"/>
                <w:szCs w:val="18"/>
                <w:lang w:val="es-MX" w:eastAsia="es-MX"/>
              </w:rPr>
            </w:pPr>
            <w:r w:rsidRPr="00F11EF5">
              <w:rPr>
                <w:b/>
                <w:sz w:val="18"/>
                <w:szCs w:val="18"/>
                <w:lang w:val="es-MX" w:eastAsia="es-MX"/>
              </w:rPr>
              <w:t>Industrias manufactureras</w:t>
            </w:r>
          </w:p>
        </w:tc>
        <w:tc>
          <w:tcPr>
            <w:tcW w:w="1121" w:type="dxa"/>
            <w:tcBorders>
              <w:top w:val="single" w:sz="6" w:space="0" w:color="1F497D" w:themeColor="text2"/>
              <w:left w:val="single" w:sz="6" w:space="0" w:color="1F497D" w:themeColor="text2"/>
              <w:bottom w:val="nil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4C2493BC" w14:textId="54E52680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b/>
                <w:bCs/>
                <w:sz w:val="18"/>
                <w:szCs w:val="18"/>
                <w:lang w:val="es-MX" w:eastAsia="es-MX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1121" w:type="dxa"/>
            <w:tcBorders>
              <w:top w:val="single" w:sz="6" w:space="0" w:color="1F497D" w:themeColor="text2"/>
              <w:left w:val="single" w:sz="6" w:space="0" w:color="1F497D" w:themeColor="text2"/>
              <w:bottom w:val="nil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32446E69" w14:textId="69E4EB3C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22" w:type="dxa"/>
            <w:tcBorders>
              <w:top w:val="single" w:sz="6" w:space="0" w:color="1F497D" w:themeColor="text2"/>
              <w:left w:val="single" w:sz="6" w:space="0" w:color="1F497D" w:themeColor="text2"/>
              <w:bottom w:val="nil"/>
              <w:right w:val="single" w:sz="8" w:space="0" w:color="1F497D" w:themeColor="text2"/>
            </w:tcBorders>
            <w:shd w:val="clear" w:color="auto" w:fill="DBE5F1" w:themeFill="accent1" w:themeFillTint="33"/>
            <w:vAlign w:val="center"/>
          </w:tcPr>
          <w:p w14:paraId="064C8731" w14:textId="2F89AB3A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7.4</w:t>
            </w:r>
          </w:p>
        </w:tc>
      </w:tr>
      <w:tr w:rsidR="00C7460A" w:rsidRPr="00F11EF5" w14:paraId="0575BB8F" w14:textId="77777777" w:rsidTr="00C7460A">
        <w:trPr>
          <w:jc w:val="center"/>
        </w:trPr>
        <w:tc>
          <w:tcPr>
            <w:tcW w:w="306" w:type="dxa"/>
            <w:tcBorders>
              <w:top w:val="nil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auto"/>
            <w:vAlign w:val="bottom"/>
          </w:tcPr>
          <w:p w14:paraId="30AA788E" w14:textId="77777777" w:rsidR="00C7460A" w:rsidRPr="00F11EF5" w:rsidRDefault="00C7460A" w:rsidP="00C7460A">
            <w:pPr>
              <w:snapToGrid w:val="0"/>
              <w:spacing w:before="20" w:after="20"/>
              <w:ind w:left="115"/>
              <w:jc w:val="left"/>
              <w:rPr>
                <w:b/>
                <w:sz w:val="18"/>
                <w:szCs w:val="18"/>
                <w:lang w:val="es-MX" w:eastAsia="es-MX"/>
              </w:rPr>
            </w:pPr>
          </w:p>
        </w:tc>
        <w:tc>
          <w:tcPr>
            <w:tcW w:w="6284" w:type="dxa"/>
            <w:gridSpan w:val="2"/>
            <w:tcBorders>
              <w:top w:val="nil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16DFA858" w14:textId="55FE7DC9" w:rsidR="00C7460A" w:rsidRPr="00F11EF5" w:rsidRDefault="00C7460A" w:rsidP="00C7460A">
            <w:pPr>
              <w:snapToGrid w:val="0"/>
              <w:spacing w:before="20" w:after="20"/>
              <w:rPr>
                <w:bCs/>
                <w:sz w:val="18"/>
                <w:szCs w:val="18"/>
                <w:lang w:val="es-MX" w:eastAsia="es-MX"/>
              </w:rPr>
            </w:pPr>
            <w:r w:rsidRPr="00F11EF5">
              <w:rPr>
                <w:bCs/>
                <w:sz w:val="18"/>
                <w:szCs w:val="18"/>
                <w:lang w:val="es-MX" w:eastAsia="es-MX"/>
              </w:rPr>
              <w:t>Dependientes de la razón social</w:t>
            </w:r>
          </w:p>
        </w:tc>
        <w:tc>
          <w:tcPr>
            <w:tcW w:w="1121" w:type="dxa"/>
            <w:tcBorders>
              <w:top w:val="nil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1D49F9C2" w14:textId="2E53F2A6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-0.9</w:t>
            </w:r>
          </w:p>
        </w:tc>
        <w:tc>
          <w:tcPr>
            <w:tcW w:w="1121" w:type="dxa"/>
            <w:tcBorders>
              <w:top w:val="nil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auto"/>
            <w:vAlign w:val="center"/>
          </w:tcPr>
          <w:p w14:paraId="39FF4D63" w14:textId="756999FA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122" w:type="dxa"/>
            <w:tcBorders>
              <w:top w:val="nil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auto"/>
            <w:vAlign w:val="center"/>
          </w:tcPr>
          <w:p w14:paraId="12489480" w14:textId="46895853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7.9</w:t>
            </w:r>
          </w:p>
        </w:tc>
      </w:tr>
      <w:tr w:rsidR="00C7460A" w:rsidRPr="00F11EF5" w14:paraId="137F3214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</w:tcPr>
          <w:p w14:paraId="16B108BC" w14:textId="77777777" w:rsidR="00C7460A" w:rsidRPr="00F11EF5" w:rsidRDefault="00C7460A" w:rsidP="00C7460A">
            <w:pPr>
              <w:snapToGrid w:val="0"/>
              <w:spacing w:before="20" w:after="20"/>
              <w:ind w:left="493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0A8CA8C" w14:textId="0CF0AD3C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Obreros y técnicos en producción</w:t>
            </w:r>
            <w:r w:rsidRPr="00F11EF5">
              <w:rPr>
                <w:sz w:val="18"/>
                <w:szCs w:val="18"/>
                <w:vertAlign w:val="superscript"/>
                <w:lang w:val="es-MX" w:eastAsia="es-MX"/>
              </w:rPr>
              <w:t>2/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066F23D2" w14:textId="2303CA96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-1.2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0BDE349" w14:textId="3388C350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3FC569F8" w14:textId="0DB60F94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9.5</w:t>
            </w:r>
          </w:p>
        </w:tc>
      </w:tr>
      <w:tr w:rsidR="00C7460A" w:rsidRPr="00F11EF5" w14:paraId="448ECA6E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</w:tcPr>
          <w:p w14:paraId="11B0DAB9" w14:textId="77777777" w:rsidR="00C7460A" w:rsidRPr="00F11EF5" w:rsidRDefault="00C7460A" w:rsidP="00C7460A">
            <w:pPr>
              <w:snapToGrid w:val="0"/>
              <w:spacing w:before="20" w:after="20"/>
              <w:ind w:left="493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8C39A30" w14:textId="08329823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Empleados administrativos, contables y de dirección</w:t>
            </w:r>
            <w:r w:rsidRPr="00F11EF5">
              <w:rPr>
                <w:sz w:val="18"/>
                <w:szCs w:val="18"/>
                <w:vertAlign w:val="superscript"/>
                <w:lang w:val="es-MX" w:eastAsia="es-MX"/>
              </w:rPr>
              <w:t>3/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2FEF902" w14:textId="00F62E2B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AA385D6" w14:textId="19677AEB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E5240DA" w14:textId="74C1EC97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4.4</w:t>
            </w:r>
          </w:p>
        </w:tc>
      </w:tr>
      <w:tr w:rsidR="00C7460A" w:rsidRPr="00F11EF5" w14:paraId="0561811F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</w:tcPr>
          <w:p w14:paraId="34F8B2A2" w14:textId="77777777" w:rsidR="00C7460A" w:rsidRPr="00F11EF5" w:rsidRDefault="00C7460A" w:rsidP="00C7460A">
            <w:pPr>
              <w:snapToGrid w:val="0"/>
              <w:spacing w:before="20" w:after="20"/>
              <w:ind w:left="493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3E9AE11" w14:textId="6FEB3774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Prestaciones sociales, contribuciones y utilidades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6C7AB5F" w14:textId="0E431AB5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5065C9C" w14:textId="477C7FE4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01BCBAD" w14:textId="4106AD16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7.8</w:t>
            </w:r>
          </w:p>
        </w:tc>
      </w:tr>
      <w:tr w:rsidR="00C7460A" w:rsidRPr="00F11EF5" w14:paraId="278539DC" w14:textId="77777777" w:rsidTr="00C7460A">
        <w:trPr>
          <w:jc w:val="center"/>
        </w:trPr>
        <w:tc>
          <w:tcPr>
            <w:tcW w:w="6590" w:type="dxa"/>
            <w:gridSpan w:val="3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3717AC5" w14:textId="1803392E" w:rsidR="00C7460A" w:rsidRPr="00F11EF5" w:rsidRDefault="00C7460A" w:rsidP="00C7460A">
            <w:pPr>
              <w:snapToGrid w:val="0"/>
              <w:spacing w:before="20" w:after="20"/>
              <w:ind w:left="304"/>
              <w:rPr>
                <w:bCs/>
                <w:sz w:val="18"/>
                <w:szCs w:val="18"/>
                <w:lang w:val="es-MX" w:eastAsia="es-MX"/>
              </w:rPr>
            </w:pPr>
            <w:r w:rsidRPr="00F11EF5">
              <w:rPr>
                <w:bCs/>
                <w:sz w:val="18"/>
                <w:szCs w:val="18"/>
                <w:lang w:val="es-MX" w:eastAsia="es-MX"/>
              </w:rPr>
              <w:t>No dependientes de la razón social</w:t>
            </w:r>
            <w:r w:rsidRPr="00F11EF5">
              <w:rPr>
                <w:bCs/>
                <w:sz w:val="18"/>
                <w:szCs w:val="18"/>
                <w:vertAlign w:val="superscript"/>
                <w:lang w:val="es-MX" w:eastAsia="es-MX"/>
              </w:rPr>
              <w:t>4/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037F9C6E" w14:textId="77A4F3BC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-31.7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1A0D8AA" w14:textId="18F4595B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-20.7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2A4CE26" w14:textId="42390A9B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-5.8</w:t>
            </w:r>
          </w:p>
        </w:tc>
      </w:tr>
      <w:tr w:rsidR="00C7460A" w:rsidRPr="00F11EF5" w14:paraId="3DBCB6E7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A32A80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b/>
                <w:sz w:val="18"/>
                <w:szCs w:val="18"/>
                <w:lang w:val="es-MX" w:eastAsia="es-MX"/>
              </w:rPr>
            </w:pPr>
            <w:r w:rsidRPr="00F11EF5">
              <w:rPr>
                <w:b/>
                <w:sz w:val="18"/>
                <w:szCs w:val="18"/>
                <w:lang w:val="es-MX" w:eastAsia="es-MX"/>
              </w:rPr>
              <w:t>31-33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14:paraId="76A238BA" w14:textId="3E29BF10" w:rsidR="00C7460A" w:rsidRPr="00F11EF5" w:rsidRDefault="00C7460A" w:rsidP="00C7460A">
            <w:pPr>
              <w:snapToGrid w:val="0"/>
              <w:spacing w:before="20" w:after="20"/>
              <w:ind w:left="-96"/>
              <w:rPr>
                <w:b/>
                <w:sz w:val="18"/>
                <w:szCs w:val="18"/>
                <w:lang w:val="es-MX" w:eastAsia="es-MX"/>
              </w:rPr>
            </w:pPr>
            <w:r w:rsidRPr="00F11EF5">
              <w:rPr>
                <w:b/>
                <w:sz w:val="18"/>
                <w:szCs w:val="18"/>
                <w:lang w:val="es-MX" w:eastAsia="es-MX"/>
              </w:rPr>
              <w:t>Industrias manufactureras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48673BAB" w14:textId="267FEAF8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3B68F1F4" w14:textId="26A5AE87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DBE5F1" w:themeFill="accent1" w:themeFillTint="33"/>
            <w:vAlign w:val="center"/>
          </w:tcPr>
          <w:p w14:paraId="4416E785" w14:textId="577D96E4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7.4</w:t>
            </w:r>
          </w:p>
        </w:tc>
      </w:tr>
      <w:tr w:rsidR="00C7460A" w:rsidRPr="00F11EF5" w14:paraId="02A68EE1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0BC190BE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311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BDA6DD1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alimentaria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5B3A586" w14:textId="482057D2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7E1BACD" w14:textId="78D73E14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9C8425C" w14:textId="5C88332A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4.8</w:t>
            </w:r>
          </w:p>
        </w:tc>
      </w:tr>
      <w:tr w:rsidR="00C7460A" w:rsidRPr="00F11EF5" w14:paraId="0AA1E476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4AC3FDD8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312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5BEE1279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 las bebidas y del tabaco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74795FB" w14:textId="0A258C3D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05198D8" w14:textId="571120A4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05618E6F" w14:textId="6740502E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4.2</w:t>
            </w:r>
          </w:p>
        </w:tc>
      </w:tr>
      <w:tr w:rsidR="00C7460A" w:rsidRPr="00F11EF5" w14:paraId="765BCA39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FC635D1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720B808B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insumos textiles y acabado de textiles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E4F4ACF" w14:textId="1D303BF7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-9.3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02F5B9D9" w14:textId="6A25C0A1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-7.1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7E77AB9" w14:textId="6DA2DC2E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6.7</w:t>
            </w:r>
          </w:p>
        </w:tc>
      </w:tr>
      <w:tr w:rsidR="00C7460A" w:rsidRPr="00F11EF5" w14:paraId="2E6362A4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3A69D455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314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903A2D0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textiles, excepto prendas de vestir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B89C88C" w14:textId="5AEE2E5B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-3.0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FDF8B89" w14:textId="742830F4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5DF8D72B" w14:textId="03CECFC6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5.2</w:t>
            </w:r>
          </w:p>
        </w:tc>
      </w:tr>
      <w:tr w:rsidR="00C7460A" w:rsidRPr="00F11EF5" w14:paraId="233A0BC9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35CBF523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315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6C880519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prendas de vestir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9387191" w14:textId="62FEF83C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-9.2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569874A" w14:textId="2F836F2C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-6.1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7C7803E3" w14:textId="7A9DD60A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7.1</w:t>
            </w:r>
          </w:p>
        </w:tc>
      </w:tr>
      <w:tr w:rsidR="00C7460A" w:rsidRPr="00F11EF5" w14:paraId="5208CE1B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04E2DC4A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316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E29B430" w14:textId="2D3DEA79" w:rsidR="00C7460A" w:rsidRPr="00F11EF5" w:rsidRDefault="00C7460A" w:rsidP="00C7460A">
            <w:pPr>
              <w:snapToGrid w:val="0"/>
              <w:spacing w:before="20" w:after="20"/>
              <w:ind w:left="-94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Curtido y acabado de cuero y piel, y fabricación de productos de cuero, piel y materiales sucedáneos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0F25CD7" w14:textId="0B83FFF2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-8.9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CE0A848" w14:textId="00A9522B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-4.8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71A49584" w14:textId="7A15E53F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7.0</w:t>
            </w:r>
          </w:p>
        </w:tc>
      </w:tr>
      <w:tr w:rsidR="00C7460A" w:rsidRPr="00F11EF5" w14:paraId="6E73DB34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36D7C40A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321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E88927F" w14:textId="77777777" w:rsidR="00C7460A" w:rsidRPr="00F11EF5" w:rsidRDefault="00C7460A" w:rsidP="00C7460A">
            <w:pPr>
              <w:snapToGrid w:val="0"/>
              <w:spacing w:before="20" w:after="20"/>
              <w:ind w:left="-94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 la madera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868C3F7" w14:textId="27E5D69A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-4.4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632AC8D" w14:textId="787FF3B3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-3.5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7112848C" w14:textId="3DD0E864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8.2</w:t>
            </w:r>
          </w:p>
        </w:tc>
      </w:tr>
      <w:tr w:rsidR="00C7460A" w:rsidRPr="00F11EF5" w14:paraId="4CF12556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6DAD4CE7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322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2C6C333A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del papel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DF614E8" w14:textId="715953C4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48CE424" w14:textId="203B0A05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5C192D71" w14:textId="492E4B64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6.8</w:t>
            </w:r>
          </w:p>
        </w:tc>
      </w:tr>
      <w:tr w:rsidR="00C7460A" w:rsidRPr="00F11EF5" w14:paraId="0419FE7E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5A32338D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52F083DC" w14:textId="77777777" w:rsidR="00C7460A" w:rsidRPr="00F11EF5" w:rsidRDefault="00C7460A" w:rsidP="00C7460A">
            <w:pPr>
              <w:snapToGrid w:val="0"/>
              <w:spacing w:before="20" w:after="20"/>
              <w:ind w:left="-94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Impresión e industrias conexas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FFF6E61" w14:textId="2EFC352A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-3.2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53A68D0" w14:textId="6753E529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1CD3CADB" w14:textId="33D4B5DE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12.6</w:t>
            </w:r>
          </w:p>
        </w:tc>
      </w:tr>
      <w:tr w:rsidR="00C7460A" w:rsidRPr="00F11EF5" w14:paraId="54B678E0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444CD76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324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E8B0FB9" w14:textId="77777777" w:rsidR="00C7460A" w:rsidRPr="00F11EF5" w:rsidRDefault="00C7460A" w:rsidP="00C7460A">
            <w:pPr>
              <w:snapToGrid w:val="0"/>
              <w:spacing w:before="20" w:after="20"/>
              <w:ind w:left="-94" w:right="-155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derivados del petróleo y del carbón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07E6D665" w14:textId="195F36F0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-0.7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DBB9E48" w14:textId="399ABD4C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61B415D5" w14:textId="088889DD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5.1</w:t>
            </w:r>
          </w:p>
        </w:tc>
      </w:tr>
      <w:tr w:rsidR="00C7460A" w:rsidRPr="00F11EF5" w14:paraId="1D900A95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74803CF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325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20C7259F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química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2FAFD56" w14:textId="015B3DCE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1D5850A" w14:textId="5F22964E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375D9E56" w14:textId="406319D3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2.0</w:t>
            </w:r>
          </w:p>
        </w:tc>
      </w:tr>
      <w:tr w:rsidR="00C7460A" w:rsidRPr="00F11EF5" w14:paraId="69CF12C9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39F2B897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326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2FA0571E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del plástico y del hule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53AE0B5" w14:textId="707DC1E9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ECB4C2F" w14:textId="40826D7A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836650A" w14:textId="589C8213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5.7</w:t>
            </w:r>
          </w:p>
        </w:tc>
      </w:tr>
      <w:tr w:rsidR="00C7460A" w:rsidRPr="00F11EF5" w14:paraId="7469AF34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4810A746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327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41EE04BE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a base de minerales no metálicos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338BE78" w14:textId="61A660E0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-0.9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2EFEC72" w14:textId="00386471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194E85A4" w14:textId="422E6BB2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5.0</w:t>
            </w:r>
          </w:p>
        </w:tc>
      </w:tr>
      <w:tr w:rsidR="00C7460A" w:rsidRPr="00F11EF5" w14:paraId="13A108B6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15735ACD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331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56F1629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Industrias metálicas básicas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1B1D267" w14:textId="6568CFC0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DE17309" w14:textId="1AC85C33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7D071441" w14:textId="0E80AEBF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2.7</w:t>
            </w:r>
          </w:p>
        </w:tc>
      </w:tr>
      <w:tr w:rsidR="00C7460A" w:rsidRPr="00F11EF5" w14:paraId="697656C5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23D7F4C7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332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2ED634C9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metálicos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AB3C93A" w14:textId="513BA3A0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0E3B977B" w14:textId="5A6D7EA5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1F2F0242" w14:textId="63AC9ECF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7.5</w:t>
            </w:r>
          </w:p>
        </w:tc>
      </w:tr>
      <w:tr w:rsidR="00C7460A" w:rsidRPr="00F11EF5" w14:paraId="7E94879D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BEBB7A1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CF08331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maquinaria y equipo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1E5B143" w14:textId="157C7D52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-3.6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3CE3599" w14:textId="3446FECA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8EB1BC1" w14:textId="540AF681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7.5</w:t>
            </w:r>
          </w:p>
        </w:tc>
      </w:tr>
      <w:tr w:rsidR="00C7460A" w:rsidRPr="00F11EF5" w14:paraId="7FB23894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23237D56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334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238C03EA" w14:textId="77777777" w:rsidR="00C7460A" w:rsidRPr="00F11EF5" w:rsidRDefault="00C7460A" w:rsidP="00C7460A">
            <w:pPr>
              <w:snapToGrid w:val="0"/>
              <w:spacing w:before="20" w:after="20"/>
              <w:ind w:left="-96" w:right="-70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equipo de computación, comunicación, medición y de otros equipos, componentes y accesorios electrónicos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D7F0046" w14:textId="5BC01D3B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-9.2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C3A5639" w14:textId="313B6A87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-3.3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050A858D" w14:textId="78194488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10.1</w:t>
            </w:r>
          </w:p>
        </w:tc>
      </w:tr>
      <w:tr w:rsidR="00C7460A" w:rsidRPr="00F11EF5" w14:paraId="55D44C97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331751B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335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4B668A03" w14:textId="5AC75CBF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accesorios, aparatos eléctricos y equipo de generación de energía eléctrica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7C98303" w14:textId="19199A68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-2.5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8B3CF79" w14:textId="28D6E676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352B3671" w14:textId="4D0C910D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7.7</w:t>
            </w:r>
          </w:p>
        </w:tc>
      </w:tr>
      <w:tr w:rsidR="00C7460A" w:rsidRPr="00F11EF5" w14:paraId="042ADE4D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4C8B17E5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336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F207A45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equipo de transporte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BFF66E1" w14:textId="163CA06B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01AC052" w14:textId="530BF2E5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6.0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5D50E9EC" w14:textId="126C4540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8.2</w:t>
            </w:r>
          </w:p>
        </w:tc>
      </w:tr>
      <w:tr w:rsidR="00C7460A" w:rsidRPr="00F11EF5" w14:paraId="32764628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B9EE219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337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954C6C8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muebles, colchones y persianas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45A9722" w14:textId="22F43773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-6.7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0264E133" w14:textId="31B8A406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73201FF1" w14:textId="2D183DD7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12.0</w:t>
            </w:r>
          </w:p>
        </w:tc>
      </w:tr>
      <w:tr w:rsidR="00C7460A" w:rsidRPr="00F11EF5" w14:paraId="4C1EF3DA" w14:textId="77777777" w:rsidTr="00C7460A">
        <w:trPr>
          <w:jc w:val="center"/>
        </w:trPr>
        <w:tc>
          <w:tcPr>
            <w:tcW w:w="746" w:type="dxa"/>
            <w:gridSpan w:val="2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  <w:hideMark/>
          </w:tcPr>
          <w:p w14:paraId="7E6E42C5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339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8" w:space="0" w:color="1F497D" w:themeColor="text2"/>
              <w:right w:val="single" w:sz="6" w:space="0" w:color="1F497D" w:themeColor="text2"/>
            </w:tcBorders>
            <w:vAlign w:val="center"/>
            <w:hideMark/>
          </w:tcPr>
          <w:p w14:paraId="67048264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Otras industrias manufactureras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8" w:space="0" w:color="1F497D" w:themeColor="text2"/>
              <w:right w:val="single" w:sz="6" w:space="0" w:color="1F497D" w:themeColor="text2"/>
            </w:tcBorders>
            <w:vAlign w:val="center"/>
          </w:tcPr>
          <w:p w14:paraId="330B15DD" w14:textId="784D086E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-2.8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8" w:space="0" w:color="1F497D" w:themeColor="text2"/>
              <w:right w:val="single" w:sz="6" w:space="0" w:color="1F497D" w:themeColor="text2"/>
            </w:tcBorders>
            <w:vAlign w:val="center"/>
          </w:tcPr>
          <w:p w14:paraId="4B528977" w14:textId="2226DEE7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38706D54" w14:textId="267D46B3" w:rsidR="00C7460A" w:rsidRPr="00F11EF5" w:rsidRDefault="00C7460A" w:rsidP="00C7460A">
            <w:pPr>
              <w:tabs>
                <w:tab w:val="decimal" w:pos="439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14.1</w:t>
            </w:r>
          </w:p>
        </w:tc>
      </w:tr>
    </w:tbl>
    <w:p w14:paraId="7E61F0A1" w14:textId="0539A53C" w:rsidR="00900B76" w:rsidRPr="00F11EF5" w:rsidRDefault="00095006" w:rsidP="00224A5C">
      <w:pPr>
        <w:pStyle w:val="p0"/>
        <w:keepLines w:val="0"/>
        <w:spacing w:before="0"/>
        <w:ind w:left="672" w:right="55" w:hanging="610"/>
        <w:rPr>
          <w:rFonts w:ascii="Arial" w:hAnsi="Arial"/>
          <w:color w:val="auto"/>
          <w:sz w:val="16"/>
          <w:szCs w:val="16"/>
        </w:rPr>
      </w:pPr>
      <w:r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1/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ab/>
      </w:r>
      <w:r w:rsidRPr="00F11EF5">
        <w:rPr>
          <w:rFonts w:ascii="Arial" w:hAnsi="Arial"/>
          <w:color w:val="auto"/>
          <w:sz w:val="16"/>
          <w:szCs w:val="16"/>
        </w:rPr>
        <w:t>Resultan de dividir la masa de remuneraciones reales entre el empleo</w:t>
      </w:r>
      <w:r w:rsidR="00223920" w:rsidRPr="00F11EF5">
        <w:rPr>
          <w:rFonts w:ascii="Arial" w:hAnsi="Arial"/>
          <w:color w:val="auto"/>
          <w:sz w:val="16"/>
          <w:szCs w:val="16"/>
        </w:rPr>
        <w:t>.</w:t>
      </w:r>
    </w:p>
    <w:p w14:paraId="250F5DB4" w14:textId="7E294115" w:rsidR="00095006" w:rsidRPr="00F11EF5" w:rsidRDefault="00E52F98" w:rsidP="00224A5C">
      <w:pPr>
        <w:pStyle w:val="p0"/>
        <w:keepLines w:val="0"/>
        <w:spacing w:before="0"/>
        <w:ind w:left="672" w:right="55" w:hanging="610"/>
        <w:rPr>
          <w:rFonts w:ascii="Arial" w:hAnsi="Arial"/>
          <w:color w:val="auto"/>
          <w:position w:val="-2"/>
          <w:sz w:val="16"/>
          <w:szCs w:val="16"/>
        </w:rPr>
      </w:pPr>
      <w:r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2</w:t>
      </w:r>
      <w:r w:rsidR="00095006"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/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ab/>
        <w:t xml:space="preserve">Para las </w:t>
      </w:r>
      <w:r w:rsidR="00E561E4" w:rsidRPr="00F11EF5">
        <w:rPr>
          <w:rFonts w:ascii="Arial" w:hAnsi="Arial"/>
          <w:color w:val="auto"/>
          <w:position w:val="-2"/>
          <w:sz w:val="16"/>
          <w:szCs w:val="16"/>
        </w:rPr>
        <w:t>r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>emuneraciones medias</w:t>
      </w:r>
      <w:r w:rsidR="00573DD4" w:rsidRPr="00F11EF5">
        <w:rPr>
          <w:rFonts w:ascii="Arial" w:hAnsi="Arial"/>
          <w:color w:val="auto"/>
          <w:position w:val="-2"/>
          <w:sz w:val="16"/>
          <w:szCs w:val="16"/>
        </w:rPr>
        <w:t>,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 xml:space="preserve"> se refiere a salarios pagados a </w:t>
      </w:r>
      <w:r w:rsidR="00300272" w:rsidRPr="00F11EF5">
        <w:rPr>
          <w:rFonts w:ascii="Arial" w:hAnsi="Arial"/>
          <w:color w:val="auto"/>
          <w:position w:val="-2"/>
          <w:sz w:val="16"/>
          <w:szCs w:val="16"/>
        </w:rPr>
        <w:t xml:space="preserve">las y los 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>obreros</w:t>
      </w:r>
      <w:r w:rsidR="00465E8F" w:rsidRPr="00F11EF5">
        <w:rPr>
          <w:rFonts w:ascii="Arial" w:hAnsi="Arial"/>
          <w:color w:val="auto"/>
          <w:position w:val="-2"/>
          <w:sz w:val="16"/>
          <w:szCs w:val="16"/>
        </w:rPr>
        <w:t xml:space="preserve"> y técnicos en producción</w:t>
      </w:r>
      <w:r w:rsidR="00223920" w:rsidRPr="00F11EF5">
        <w:rPr>
          <w:rFonts w:ascii="Arial" w:hAnsi="Arial"/>
          <w:color w:val="auto"/>
          <w:position w:val="-2"/>
          <w:sz w:val="16"/>
          <w:szCs w:val="16"/>
        </w:rPr>
        <w:t>.</w:t>
      </w:r>
    </w:p>
    <w:p w14:paraId="598A982F" w14:textId="549C1D26" w:rsidR="00095006" w:rsidRPr="00F11EF5" w:rsidRDefault="00E52F98" w:rsidP="00224A5C">
      <w:pPr>
        <w:pStyle w:val="p0"/>
        <w:keepLines w:val="0"/>
        <w:spacing w:before="0"/>
        <w:ind w:left="672" w:right="55" w:hanging="610"/>
        <w:rPr>
          <w:rFonts w:ascii="Arial" w:hAnsi="Arial"/>
          <w:color w:val="auto"/>
          <w:position w:val="-2"/>
          <w:sz w:val="16"/>
          <w:szCs w:val="16"/>
        </w:rPr>
      </w:pPr>
      <w:r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3</w:t>
      </w:r>
      <w:r w:rsidR="00095006"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/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ab/>
        <w:t xml:space="preserve">Para las </w:t>
      </w:r>
      <w:r w:rsidR="00E561E4" w:rsidRPr="00F11EF5">
        <w:rPr>
          <w:rFonts w:ascii="Arial" w:hAnsi="Arial"/>
          <w:color w:val="auto"/>
          <w:position w:val="-2"/>
          <w:sz w:val="16"/>
          <w:szCs w:val="16"/>
        </w:rPr>
        <w:t>r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>emuneraciones medias</w:t>
      </w:r>
      <w:r w:rsidR="00573DD4" w:rsidRPr="00F11EF5">
        <w:rPr>
          <w:rFonts w:ascii="Arial" w:hAnsi="Arial"/>
          <w:color w:val="auto"/>
          <w:position w:val="-2"/>
          <w:sz w:val="16"/>
          <w:szCs w:val="16"/>
        </w:rPr>
        <w:t>,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 xml:space="preserve"> se refiere a sueldos pagados a </w:t>
      </w:r>
      <w:r w:rsidR="00300272" w:rsidRPr="00F11EF5">
        <w:rPr>
          <w:rFonts w:ascii="Arial" w:hAnsi="Arial"/>
          <w:color w:val="auto"/>
          <w:position w:val="-2"/>
          <w:sz w:val="16"/>
          <w:szCs w:val="16"/>
        </w:rPr>
        <w:t xml:space="preserve">las y los 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>empleados</w:t>
      </w:r>
      <w:r w:rsidR="00465E8F" w:rsidRPr="00F11EF5">
        <w:rPr>
          <w:rFonts w:ascii="Arial" w:hAnsi="Arial"/>
          <w:color w:val="auto"/>
          <w:position w:val="-2"/>
          <w:sz w:val="16"/>
          <w:szCs w:val="16"/>
        </w:rPr>
        <w:t xml:space="preserve"> administrativos, contables y de dirección</w:t>
      </w:r>
      <w:r w:rsidR="00223920" w:rsidRPr="00F11EF5">
        <w:rPr>
          <w:rFonts w:ascii="Arial" w:hAnsi="Arial"/>
          <w:color w:val="auto"/>
          <w:position w:val="-2"/>
          <w:sz w:val="16"/>
          <w:szCs w:val="16"/>
        </w:rPr>
        <w:t>.</w:t>
      </w:r>
    </w:p>
    <w:p w14:paraId="0312C00B" w14:textId="4380D455" w:rsidR="00E52F98" w:rsidRPr="00F11EF5" w:rsidRDefault="00E52F98" w:rsidP="00224A5C">
      <w:pPr>
        <w:pStyle w:val="p0"/>
        <w:keepLines w:val="0"/>
        <w:spacing w:before="0"/>
        <w:ind w:left="672" w:right="55" w:hanging="610"/>
        <w:rPr>
          <w:rFonts w:ascii="Arial" w:hAnsi="Arial"/>
          <w:color w:val="auto"/>
          <w:position w:val="-2"/>
          <w:sz w:val="16"/>
          <w:szCs w:val="16"/>
        </w:rPr>
      </w:pPr>
      <w:r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4/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ab/>
      </w:r>
      <w:r w:rsidR="00C33534" w:rsidRPr="00F11EF5">
        <w:rPr>
          <w:rFonts w:ascii="Arial" w:hAnsi="Arial"/>
          <w:color w:val="auto"/>
          <w:position w:val="-2"/>
          <w:sz w:val="16"/>
          <w:szCs w:val="16"/>
        </w:rPr>
        <w:t>Las y los c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>ontratado</w:t>
      </w:r>
      <w:r w:rsidR="00BA362A" w:rsidRPr="00F11EF5">
        <w:rPr>
          <w:rFonts w:ascii="Arial" w:hAnsi="Arial"/>
          <w:color w:val="auto"/>
          <w:position w:val="-2"/>
          <w:sz w:val="16"/>
          <w:szCs w:val="16"/>
        </w:rPr>
        <w:t>s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 xml:space="preserve"> y proporcionado</w:t>
      </w:r>
      <w:r w:rsidR="00BA362A" w:rsidRPr="00F11EF5">
        <w:rPr>
          <w:rFonts w:ascii="Arial" w:hAnsi="Arial"/>
          <w:color w:val="auto"/>
          <w:position w:val="-2"/>
          <w:sz w:val="16"/>
          <w:szCs w:val="16"/>
        </w:rPr>
        <w:t>s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 xml:space="preserve"> por otra razón social y por honorarios o comisiones sin sueldo o salario fijo.</w:t>
      </w:r>
    </w:p>
    <w:p w14:paraId="34FD1C17" w14:textId="13706C07" w:rsidR="00095006" w:rsidRPr="00F11EF5" w:rsidRDefault="004867D2" w:rsidP="00224A5C">
      <w:pPr>
        <w:pStyle w:val="p0"/>
        <w:keepLines w:val="0"/>
        <w:spacing w:before="0"/>
        <w:ind w:left="672" w:right="55" w:hanging="610"/>
        <w:rPr>
          <w:rFonts w:ascii="Arial" w:hAnsi="Arial"/>
          <w:color w:val="auto"/>
          <w:position w:val="-2"/>
          <w:sz w:val="18"/>
          <w:szCs w:val="18"/>
          <w:vertAlign w:val="superscript"/>
        </w:rPr>
      </w:pPr>
      <w:r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p</w:t>
      </w:r>
      <w:r w:rsidR="00095006"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/</w:t>
      </w:r>
      <w:r w:rsidR="00095006" w:rsidRPr="00F11EF5">
        <w:rPr>
          <w:rFonts w:ascii="Arial" w:hAnsi="Arial"/>
          <w:color w:val="auto"/>
          <w:position w:val="-2"/>
          <w:sz w:val="16"/>
          <w:szCs w:val="16"/>
        </w:rPr>
        <w:tab/>
      </w:r>
      <w:r w:rsidR="00095006" w:rsidRPr="00F11EF5">
        <w:rPr>
          <w:rFonts w:ascii="Arial" w:hAnsi="Arial"/>
          <w:color w:val="auto"/>
          <w:sz w:val="16"/>
          <w:szCs w:val="16"/>
        </w:rPr>
        <w:t>Cifras preliminares</w:t>
      </w:r>
      <w:r w:rsidR="001F132E" w:rsidRPr="00F11EF5">
        <w:rPr>
          <w:rFonts w:ascii="Arial" w:hAnsi="Arial"/>
          <w:color w:val="auto"/>
          <w:sz w:val="16"/>
          <w:szCs w:val="16"/>
        </w:rPr>
        <w:t>.</w:t>
      </w:r>
    </w:p>
    <w:p w14:paraId="6D2B701A" w14:textId="2C4F2120" w:rsidR="009E7BB5" w:rsidRPr="00F11EF5" w:rsidRDefault="00095006" w:rsidP="00224A5C">
      <w:pPr>
        <w:pStyle w:val="p0"/>
        <w:keepLines w:val="0"/>
        <w:tabs>
          <w:tab w:val="decimal" w:pos="993"/>
        </w:tabs>
        <w:spacing w:before="0"/>
        <w:ind w:right="55" w:firstLine="62"/>
        <w:rPr>
          <w:rFonts w:ascii="Arial" w:hAnsi="Arial"/>
          <w:color w:val="auto"/>
          <w:sz w:val="16"/>
          <w:szCs w:val="16"/>
        </w:rPr>
      </w:pPr>
      <w:r w:rsidRPr="00F11EF5">
        <w:rPr>
          <w:rFonts w:ascii="Arial" w:hAnsi="Arial"/>
          <w:color w:val="auto"/>
          <w:sz w:val="16"/>
          <w:szCs w:val="16"/>
        </w:rPr>
        <w:t>Fuente:</w:t>
      </w:r>
      <w:r w:rsidR="005F3490" w:rsidRPr="00F11EF5">
        <w:rPr>
          <w:rFonts w:ascii="Arial" w:hAnsi="Arial"/>
          <w:color w:val="auto"/>
          <w:sz w:val="16"/>
          <w:szCs w:val="16"/>
        </w:rPr>
        <w:tab/>
      </w:r>
      <w:r w:rsidR="00B771BD" w:rsidRPr="00F11EF5">
        <w:rPr>
          <w:rFonts w:ascii="Arial" w:hAnsi="Arial"/>
          <w:smallCaps/>
          <w:color w:val="auto"/>
          <w:sz w:val="16"/>
          <w:szCs w:val="16"/>
        </w:rPr>
        <w:t>inegi</w:t>
      </w:r>
      <w:r w:rsidR="001F132E" w:rsidRPr="00F11EF5">
        <w:rPr>
          <w:rFonts w:ascii="Arial" w:hAnsi="Arial"/>
          <w:color w:val="auto"/>
          <w:sz w:val="16"/>
        </w:rPr>
        <w:t xml:space="preserve">. </w:t>
      </w:r>
      <w:r w:rsidR="00CB6BFF" w:rsidRPr="00F11EF5">
        <w:rPr>
          <w:rFonts w:ascii="Arial" w:hAnsi="Arial"/>
          <w:smallCaps/>
          <w:color w:val="auto"/>
          <w:sz w:val="16"/>
        </w:rPr>
        <w:t>emim</w:t>
      </w:r>
      <w:r w:rsidR="001F132E" w:rsidRPr="00F11EF5">
        <w:rPr>
          <w:rFonts w:ascii="Arial" w:hAnsi="Arial"/>
          <w:color w:val="auto"/>
          <w:sz w:val="16"/>
        </w:rPr>
        <w:t>, 202</w:t>
      </w:r>
      <w:r w:rsidR="002113F3" w:rsidRPr="00F11EF5">
        <w:rPr>
          <w:rFonts w:ascii="Arial" w:hAnsi="Arial"/>
          <w:color w:val="auto"/>
          <w:sz w:val="16"/>
        </w:rPr>
        <w:t>4</w:t>
      </w:r>
      <w:r w:rsidR="001F132E" w:rsidRPr="00F11EF5">
        <w:rPr>
          <w:rFonts w:ascii="Arial" w:hAnsi="Arial"/>
          <w:color w:val="auto"/>
          <w:sz w:val="16"/>
        </w:rPr>
        <w:t>.</w:t>
      </w:r>
    </w:p>
    <w:p w14:paraId="367875CE" w14:textId="77777777" w:rsidR="009E7BB5" w:rsidRPr="00F11EF5" w:rsidRDefault="009E7BB5">
      <w:pPr>
        <w:jc w:val="left"/>
        <w:rPr>
          <w:snapToGrid w:val="0"/>
          <w:sz w:val="16"/>
          <w:szCs w:val="16"/>
        </w:rPr>
      </w:pPr>
      <w:r w:rsidRPr="00F11EF5">
        <w:rPr>
          <w:sz w:val="16"/>
          <w:szCs w:val="16"/>
        </w:rPr>
        <w:br w:type="page"/>
      </w:r>
    </w:p>
    <w:p w14:paraId="3FDF2A17" w14:textId="77777777" w:rsidR="0044026C" w:rsidRDefault="0044026C" w:rsidP="005D7A99">
      <w:pPr>
        <w:pStyle w:val="Ttulo4"/>
        <w:keepNext w:val="0"/>
        <w:keepLines w:val="0"/>
        <w:spacing w:before="0"/>
        <w:jc w:val="center"/>
        <w:rPr>
          <w:rFonts w:ascii="Arial" w:hAnsi="Arial" w:cs="Arial"/>
          <w:i w:val="0"/>
          <w:color w:val="auto"/>
          <w:sz w:val="20"/>
          <w:szCs w:val="22"/>
        </w:rPr>
      </w:pPr>
    </w:p>
    <w:p w14:paraId="415C2682" w14:textId="10A5B360" w:rsidR="005D7A99" w:rsidRPr="00F11EF5" w:rsidRDefault="005D7A99" w:rsidP="005D7A99">
      <w:pPr>
        <w:pStyle w:val="Ttulo4"/>
        <w:keepNext w:val="0"/>
        <w:keepLines w:val="0"/>
        <w:spacing w:before="0"/>
        <w:jc w:val="center"/>
        <w:rPr>
          <w:rFonts w:ascii="Arial" w:hAnsi="Arial" w:cs="Arial"/>
          <w:i w:val="0"/>
          <w:color w:val="auto"/>
          <w:szCs w:val="22"/>
        </w:rPr>
      </w:pPr>
      <w:r w:rsidRPr="00F11EF5">
        <w:rPr>
          <w:rFonts w:ascii="Arial" w:hAnsi="Arial" w:cs="Arial"/>
          <w:i w:val="0"/>
          <w:color w:val="auto"/>
          <w:sz w:val="20"/>
          <w:szCs w:val="22"/>
        </w:rPr>
        <w:t xml:space="preserve">Cuadro </w:t>
      </w:r>
      <w:r w:rsidR="0044026C">
        <w:rPr>
          <w:rFonts w:ascii="Arial" w:hAnsi="Arial" w:cs="Arial"/>
          <w:i w:val="0"/>
          <w:color w:val="auto"/>
          <w:sz w:val="20"/>
          <w:szCs w:val="22"/>
        </w:rPr>
        <w:t>2</w:t>
      </w:r>
    </w:p>
    <w:p w14:paraId="073E1A3A" w14:textId="181748D8" w:rsidR="005D7A99" w:rsidRPr="00F11EF5" w:rsidRDefault="002113F3" w:rsidP="005D7A99">
      <w:pPr>
        <w:pStyle w:val="Ttulo4"/>
        <w:keepNext w:val="0"/>
        <w:keepLines w:val="0"/>
        <w:spacing w:before="0"/>
        <w:jc w:val="center"/>
        <w:rPr>
          <w:rFonts w:ascii="Arial" w:hAnsi="Arial" w:cs="Arial"/>
          <w:b/>
          <w:i w:val="0"/>
          <w:smallCaps/>
          <w:color w:val="auto"/>
          <w:sz w:val="22"/>
          <w:szCs w:val="22"/>
        </w:rPr>
      </w:pPr>
      <w:r w:rsidRPr="00F11EF5">
        <w:rPr>
          <w:rFonts w:ascii="Arial" w:hAnsi="Arial" w:cs="Arial"/>
          <w:b/>
          <w:i w:val="0"/>
          <w:smallCaps/>
          <w:color w:val="auto"/>
          <w:sz w:val="22"/>
          <w:szCs w:val="22"/>
        </w:rPr>
        <w:t>porcentaje de capacidad de planta utilizada</w:t>
      </w:r>
      <w:r w:rsidRPr="00F11EF5">
        <w:rPr>
          <w:rFonts w:ascii="Arial" w:hAnsi="Arial" w:cs="Arial"/>
          <w:b/>
          <w:i w:val="0"/>
          <w:smallCaps/>
          <w:color w:val="auto"/>
          <w:sz w:val="22"/>
          <w:szCs w:val="22"/>
          <w:vertAlign w:val="superscript"/>
        </w:rPr>
        <w:t>1/</w:t>
      </w:r>
      <w:r w:rsidRPr="00F11EF5">
        <w:rPr>
          <w:rFonts w:ascii="Arial" w:hAnsi="Arial" w:cs="Arial"/>
          <w:b/>
          <w:i w:val="0"/>
          <w:smallCaps/>
          <w:color w:val="auto"/>
          <w:sz w:val="22"/>
          <w:szCs w:val="22"/>
        </w:rPr>
        <w:t xml:space="preserve"> </w:t>
      </w:r>
      <w:r w:rsidRPr="00F11EF5">
        <w:rPr>
          <w:rFonts w:ascii="Arial" w:hAnsi="Arial" w:cs="Arial"/>
          <w:b/>
          <w:i w:val="0"/>
          <w:smallCaps/>
          <w:color w:val="auto"/>
          <w:sz w:val="22"/>
          <w:szCs w:val="22"/>
        </w:rPr>
        <w:br/>
        <w:t>del sector manufacturero y por subsector</w:t>
      </w:r>
    </w:p>
    <w:tbl>
      <w:tblPr>
        <w:tblStyle w:val="Tablaconcuadrcul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5844"/>
        <w:gridCol w:w="1121"/>
        <w:gridCol w:w="1121"/>
        <w:gridCol w:w="1122"/>
      </w:tblGrid>
      <w:tr w:rsidR="00D76941" w:rsidRPr="00F11EF5" w14:paraId="1D421015" w14:textId="77777777" w:rsidTr="00F63FD8">
        <w:trPr>
          <w:trHeight w:val="249"/>
          <w:jc w:val="center"/>
        </w:trPr>
        <w:tc>
          <w:tcPr>
            <w:tcW w:w="6590" w:type="dxa"/>
            <w:gridSpan w:val="2"/>
            <w:vMerge w:val="restart"/>
            <w:tcBorders>
              <w:top w:val="single" w:sz="8" w:space="0" w:color="1F497D" w:themeColor="text2"/>
              <w:left w:val="single" w:sz="8" w:space="0" w:color="1F497D" w:themeColor="text2"/>
              <w:right w:val="single" w:sz="6" w:space="0" w:color="1F497D" w:themeColor="text2"/>
            </w:tcBorders>
            <w:shd w:val="clear" w:color="auto" w:fill="C6D9F1"/>
            <w:vAlign w:val="center"/>
          </w:tcPr>
          <w:p w14:paraId="0B1CFE6E" w14:textId="02EA0F75" w:rsidR="00D76941" w:rsidRPr="00F11EF5" w:rsidRDefault="00D21045" w:rsidP="00710ACD">
            <w:pPr>
              <w:snapToGrid w:val="0"/>
              <w:spacing w:before="60" w:after="60"/>
              <w:ind w:firstLine="811"/>
              <w:jc w:val="lef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Sector y s</w:t>
            </w:r>
            <w:r w:rsidR="00D76941" w:rsidRPr="00F11EF5">
              <w:rPr>
                <w:sz w:val="18"/>
                <w:szCs w:val="18"/>
                <w:lang w:val="es-MX" w:eastAsia="es-MX"/>
              </w:rPr>
              <w:t>ubsectores</w:t>
            </w:r>
          </w:p>
        </w:tc>
        <w:tc>
          <w:tcPr>
            <w:tcW w:w="2242" w:type="dxa"/>
            <w:gridSpan w:val="2"/>
            <w:tcBorders>
              <w:top w:val="single" w:sz="8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/>
            <w:vAlign w:val="center"/>
          </w:tcPr>
          <w:p w14:paraId="6E626B31" w14:textId="6A04F52B" w:rsidR="00D76941" w:rsidRPr="00F11EF5" w:rsidRDefault="00224A5C" w:rsidP="00D76941">
            <w:pPr>
              <w:tabs>
                <w:tab w:val="left" w:pos="993"/>
              </w:tabs>
              <w:snapToGrid w:val="0"/>
              <w:spacing w:before="60" w:after="60"/>
              <w:ind w:left="-113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Febr</w:t>
            </w:r>
            <w:r w:rsidR="002113F3" w:rsidRPr="00F11EF5">
              <w:rPr>
                <w:sz w:val="18"/>
                <w:szCs w:val="18"/>
                <w:lang w:val="es-MX" w:eastAsia="es-MX"/>
              </w:rPr>
              <w:t>ero</w:t>
            </w:r>
          </w:p>
        </w:tc>
        <w:tc>
          <w:tcPr>
            <w:tcW w:w="1122" w:type="dxa"/>
            <w:vMerge w:val="restart"/>
            <w:tcBorders>
              <w:top w:val="single" w:sz="8" w:space="0" w:color="1F497D" w:themeColor="text2"/>
              <w:left w:val="single" w:sz="6" w:space="0" w:color="1F497D" w:themeColor="text2"/>
              <w:right w:val="single" w:sz="8" w:space="0" w:color="1F497D" w:themeColor="text2"/>
            </w:tcBorders>
            <w:shd w:val="clear" w:color="auto" w:fill="C6D9F1" w:themeFill="text2" w:themeFillTint="33"/>
            <w:vAlign w:val="center"/>
          </w:tcPr>
          <w:p w14:paraId="440DC619" w14:textId="37FA1D9C" w:rsidR="00D76941" w:rsidRPr="00F11EF5" w:rsidRDefault="00D76941" w:rsidP="00D76941">
            <w:pPr>
              <w:snapToGrid w:val="0"/>
              <w:spacing w:before="60" w:after="60"/>
              <w:ind w:left="-113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Diferencia</w:t>
            </w:r>
          </w:p>
          <w:p w14:paraId="50B72638" w14:textId="5F757443" w:rsidR="00D76941" w:rsidRPr="00F11EF5" w:rsidRDefault="00D76941" w:rsidP="00D76941">
            <w:pPr>
              <w:snapToGrid w:val="0"/>
              <w:spacing w:before="60" w:after="60"/>
              <w:ind w:left="-113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anual</w:t>
            </w:r>
          </w:p>
        </w:tc>
      </w:tr>
      <w:tr w:rsidR="00D76941" w:rsidRPr="00F11EF5" w14:paraId="0C34D86D" w14:textId="77777777" w:rsidTr="00F63FD8">
        <w:trPr>
          <w:trHeight w:val="249"/>
          <w:jc w:val="center"/>
        </w:trPr>
        <w:tc>
          <w:tcPr>
            <w:tcW w:w="6590" w:type="dxa"/>
            <w:gridSpan w:val="2"/>
            <w:vMerge/>
            <w:tcBorders>
              <w:left w:val="single" w:sz="8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/>
            <w:vAlign w:val="center"/>
            <w:hideMark/>
          </w:tcPr>
          <w:p w14:paraId="69848028" w14:textId="5CA7874F" w:rsidR="00D76941" w:rsidRPr="00F11EF5" w:rsidRDefault="00D76941" w:rsidP="00710ACD">
            <w:pPr>
              <w:snapToGrid w:val="0"/>
              <w:spacing w:before="60" w:after="60"/>
              <w:ind w:firstLine="811"/>
              <w:jc w:val="left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12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/>
            <w:vAlign w:val="center"/>
            <w:hideMark/>
          </w:tcPr>
          <w:p w14:paraId="1B356257" w14:textId="78C733BF" w:rsidR="00D76941" w:rsidRPr="00F11EF5" w:rsidRDefault="00D76941" w:rsidP="00D76941">
            <w:pPr>
              <w:tabs>
                <w:tab w:val="left" w:pos="993"/>
              </w:tabs>
              <w:snapToGrid w:val="0"/>
              <w:spacing w:before="60" w:after="60"/>
              <w:ind w:left="-130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202</w:t>
            </w:r>
            <w:r w:rsidR="002113F3" w:rsidRPr="00F11EF5">
              <w:rPr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2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/>
            <w:vAlign w:val="center"/>
            <w:hideMark/>
          </w:tcPr>
          <w:p w14:paraId="6A0A54FB" w14:textId="157AA82E" w:rsidR="00D76941" w:rsidRPr="00F11EF5" w:rsidRDefault="00D76941" w:rsidP="00D76941">
            <w:pPr>
              <w:tabs>
                <w:tab w:val="left" w:pos="993"/>
              </w:tabs>
              <w:snapToGrid w:val="0"/>
              <w:spacing w:before="60" w:after="60"/>
              <w:ind w:left="-113" w:right="-113"/>
              <w:jc w:val="center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202</w:t>
            </w:r>
            <w:r w:rsidR="002113F3" w:rsidRPr="00F11EF5">
              <w:rPr>
                <w:sz w:val="18"/>
                <w:szCs w:val="18"/>
                <w:lang w:val="es-MX" w:eastAsia="es-MX"/>
              </w:rPr>
              <w:t>4</w:t>
            </w:r>
            <w:r w:rsidRPr="00F11EF5">
              <w:rPr>
                <w:sz w:val="18"/>
                <w:szCs w:val="18"/>
                <w:vertAlign w:val="superscript"/>
                <w:lang w:eastAsia="es-MX"/>
              </w:rPr>
              <w:t>p/</w:t>
            </w:r>
          </w:p>
        </w:tc>
        <w:tc>
          <w:tcPr>
            <w:tcW w:w="1122" w:type="dxa"/>
            <w:vMerge/>
            <w:tcBorders>
              <w:left w:val="single" w:sz="6" w:space="0" w:color="1F497D" w:themeColor="text2"/>
              <w:bottom w:val="single" w:sz="6" w:space="0" w:color="1F497D" w:themeColor="text2"/>
              <w:right w:val="single" w:sz="8" w:space="0" w:color="1F497D" w:themeColor="text2"/>
            </w:tcBorders>
            <w:shd w:val="clear" w:color="auto" w:fill="C6D9F1" w:themeFill="text2" w:themeFillTint="33"/>
            <w:hideMark/>
          </w:tcPr>
          <w:p w14:paraId="296B15EC" w14:textId="22C48822" w:rsidR="00D76941" w:rsidRPr="00F11EF5" w:rsidRDefault="00D76941" w:rsidP="00710ACD">
            <w:pPr>
              <w:snapToGrid w:val="0"/>
              <w:spacing w:before="60" w:after="60"/>
              <w:ind w:left="-113" w:right="-113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  <w:tr w:rsidR="00C7460A" w:rsidRPr="00F11EF5" w14:paraId="54910533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4E43C5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b/>
                <w:sz w:val="18"/>
                <w:szCs w:val="18"/>
                <w:lang w:val="es-MX" w:eastAsia="es-MX"/>
              </w:rPr>
            </w:pPr>
            <w:r w:rsidRPr="00F11EF5">
              <w:rPr>
                <w:b/>
                <w:sz w:val="18"/>
                <w:szCs w:val="18"/>
                <w:lang w:val="es-MX" w:eastAsia="es-MX"/>
              </w:rPr>
              <w:t>31-33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14:paraId="628ACCA8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b/>
                <w:sz w:val="18"/>
                <w:szCs w:val="18"/>
                <w:lang w:val="es-MX" w:eastAsia="es-MX"/>
              </w:rPr>
            </w:pPr>
            <w:r w:rsidRPr="00F11EF5">
              <w:rPr>
                <w:b/>
                <w:sz w:val="18"/>
                <w:szCs w:val="18"/>
                <w:lang w:val="es-MX" w:eastAsia="es-MX"/>
              </w:rPr>
              <w:t>Industrias manufactureras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01DA3F0C" w14:textId="3E871515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shd w:val="clear" w:color="auto" w:fill="DBE5F1" w:themeFill="accent1" w:themeFillTint="33"/>
            <w:vAlign w:val="center"/>
          </w:tcPr>
          <w:p w14:paraId="2CB1660F" w14:textId="4D2AEF56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shd w:val="clear" w:color="auto" w:fill="DBE5F1" w:themeFill="accent1" w:themeFillTint="33"/>
            <w:vAlign w:val="center"/>
          </w:tcPr>
          <w:p w14:paraId="2CA517DB" w14:textId="5DF11AB3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b/>
                <w:bCs/>
                <w:sz w:val="18"/>
                <w:szCs w:val="18"/>
              </w:rPr>
            </w:pPr>
            <w:r w:rsidRPr="00F11EF5">
              <w:rPr>
                <w:b/>
                <w:bCs/>
                <w:color w:val="000000"/>
                <w:sz w:val="18"/>
                <w:szCs w:val="18"/>
              </w:rPr>
              <w:t>3.7</w:t>
            </w:r>
          </w:p>
        </w:tc>
      </w:tr>
      <w:tr w:rsidR="00C7460A" w:rsidRPr="00F11EF5" w14:paraId="2CE185BD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5A814ACB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311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2D1F42B6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alimentaria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34F085A" w14:textId="05348C9A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75.6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A001C12" w14:textId="1D388CEA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77.6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61419AEE" w14:textId="3C416DF2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2.0</w:t>
            </w:r>
          </w:p>
        </w:tc>
      </w:tr>
      <w:tr w:rsidR="00C7460A" w:rsidRPr="00F11EF5" w14:paraId="1AA9C596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62D45F00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312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84D7DD0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 las bebidas y del tabaco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FE03CE0" w14:textId="352CC70A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84.4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88C2C92" w14:textId="54CA53BA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3496DD05" w14:textId="670F24D1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C7460A" w:rsidRPr="00F11EF5" w14:paraId="55FA28D1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E0DCAE1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722D0D33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insumos textiles y acabado de textiles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5605A48" w14:textId="0272D5CD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C7466A2" w14:textId="0CB5FBC3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38920C99" w14:textId="4D867CDD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-4.6</w:t>
            </w:r>
          </w:p>
        </w:tc>
      </w:tr>
      <w:tr w:rsidR="00C7460A" w:rsidRPr="00F11EF5" w14:paraId="6646991D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8FCAE97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314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0C2E0CD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textiles, excepto prendas de vestir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F36DB63" w14:textId="78761FC7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68B2050" w14:textId="3F983997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78.6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72634B24" w14:textId="134D6B01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-2.3</w:t>
            </w:r>
          </w:p>
        </w:tc>
      </w:tr>
      <w:tr w:rsidR="00C7460A" w:rsidRPr="00F11EF5" w14:paraId="35544214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3D6CE33F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315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556CF71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prendas de vestir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E60D693" w14:textId="7A409402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66.0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414ABE8" w14:textId="7F0BA335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63.3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813A957" w14:textId="7F8A1E63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-2.7</w:t>
            </w:r>
          </w:p>
        </w:tc>
      </w:tr>
      <w:tr w:rsidR="00C7460A" w:rsidRPr="00F11EF5" w14:paraId="7940EE3F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C77BA13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316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82A6FAE" w14:textId="77777777" w:rsidR="00C7460A" w:rsidRPr="00F11EF5" w:rsidRDefault="00C7460A" w:rsidP="00C7460A">
            <w:pPr>
              <w:snapToGrid w:val="0"/>
              <w:spacing w:before="20" w:after="20"/>
              <w:ind w:left="-94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Curtido y acabado de cuero y piel, y fabricación de productos de cuero, piel y materiales sucedáneos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F0B1498" w14:textId="119D259D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65.9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721CF67" w14:textId="4F52E753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63.8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71E877F" w14:textId="0BB7F07B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-2.1</w:t>
            </w:r>
          </w:p>
        </w:tc>
      </w:tr>
      <w:tr w:rsidR="00C7460A" w:rsidRPr="00F11EF5" w14:paraId="2925BA70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4B00E24B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321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7BF63760" w14:textId="77777777" w:rsidR="00C7460A" w:rsidRPr="00F11EF5" w:rsidRDefault="00C7460A" w:rsidP="00C7460A">
            <w:pPr>
              <w:snapToGrid w:val="0"/>
              <w:spacing w:before="20" w:after="20"/>
              <w:ind w:left="-94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 la madera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FB75FCD" w14:textId="24EFB639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72.2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8E3141D" w14:textId="5ED7EE9F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70.5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A8771CE" w14:textId="5F0E097A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-1.7</w:t>
            </w:r>
          </w:p>
        </w:tc>
      </w:tr>
      <w:tr w:rsidR="00C7460A" w:rsidRPr="00F11EF5" w14:paraId="51D84EF9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276E22EC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322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473E6F1B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del papel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1394190" w14:textId="4A9C9B9E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84.6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C951A96" w14:textId="3C0EB0BB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82.8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0F29CE34" w14:textId="56375766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-1.8</w:t>
            </w:r>
          </w:p>
        </w:tc>
      </w:tr>
      <w:tr w:rsidR="00C7460A" w:rsidRPr="00F11EF5" w14:paraId="10CBEA83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25A7521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34C688E" w14:textId="77777777" w:rsidR="00C7460A" w:rsidRPr="00F11EF5" w:rsidRDefault="00C7460A" w:rsidP="00C7460A">
            <w:pPr>
              <w:snapToGrid w:val="0"/>
              <w:spacing w:before="20" w:after="20"/>
              <w:ind w:left="-94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Impresión e industrias conexas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553C2E9" w14:textId="185DFDA4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9694EBF" w14:textId="49B54F60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74.7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7FEB0A8" w14:textId="2DB6ADB8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-2.6</w:t>
            </w:r>
          </w:p>
        </w:tc>
      </w:tr>
      <w:tr w:rsidR="00C7460A" w:rsidRPr="00F11EF5" w14:paraId="29CE7A8A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9F05005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324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33AC502" w14:textId="77777777" w:rsidR="00C7460A" w:rsidRPr="00F11EF5" w:rsidRDefault="00C7460A" w:rsidP="00C7460A">
            <w:pPr>
              <w:snapToGrid w:val="0"/>
              <w:spacing w:before="20" w:after="20"/>
              <w:ind w:left="-94" w:right="-155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derivados del petróleo y del carbón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0A49480" w14:textId="4B75B9BB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65.4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4E1C3DF" w14:textId="3CE3E1CA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75.3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742425E3" w14:textId="48DE6559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9.9</w:t>
            </w:r>
          </w:p>
        </w:tc>
      </w:tr>
      <w:tr w:rsidR="00C7460A" w:rsidRPr="00F11EF5" w14:paraId="2D4BE064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13FCA62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325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37441208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química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9747D45" w14:textId="192FE34C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64.2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4F69B08" w14:textId="058A26BC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67.0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53A64903" w14:textId="3D0D864F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2.8</w:t>
            </w:r>
          </w:p>
        </w:tc>
      </w:tr>
      <w:tr w:rsidR="00C7460A" w:rsidRPr="00F11EF5" w14:paraId="3616C64D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52EC302C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326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4A00EBA4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 del plástico y del hule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05CBC62" w14:textId="7FA0CA03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79.8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0B3D239" w14:textId="0ECF2B99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D948749" w14:textId="6C480ED9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-0.5</w:t>
            </w:r>
          </w:p>
        </w:tc>
      </w:tr>
      <w:tr w:rsidR="00C7460A" w:rsidRPr="00F11EF5" w14:paraId="06E9BF30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22C23617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327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FA1DA17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a base de minerales no metálicos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F384DA4" w14:textId="627E39C6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81.9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3E0769A4" w14:textId="59645CE1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83.9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3D6C82FB" w14:textId="511DBEFF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2.0</w:t>
            </w:r>
          </w:p>
        </w:tc>
      </w:tr>
      <w:tr w:rsidR="00C7460A" w:rsidRPr="00F11EF5" w14:paraId="56EA0F06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50584C69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331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667825EB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Industrias metálicas básicas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A53970B" w14:textId="79868E29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80.3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3D63F56" w14:textId="7B018B35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79.9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D48A4E1" w14:textId="782A4348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-0.4</w:t>
            </w:r>
          </w:p>
        </w:tc>
      </w:tr>
      <w:tr w:rsidR="00C7460A" w:rsidRPr="00F11EF5" w14:paraId="25BCC4F3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6C4F375D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332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360BD0FD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productos metálicos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7E5D4A74" w14:textId="04DC32B0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75.3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BFE4E75" w14:textId="73640EE5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77.0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4614C455" w14:textId="698552E4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1.7</w:t>
            </w:r>
          </w:p>
        </w:tc>
      </w:tr>
      <w:tr w:rsidR="00C7460A" w:rsidRPr="00F11EF5" w14:paraId="2C528853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55DC7079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333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4D3B5C4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maquinaria y equipo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8F0D195" w14:textId="6C3DD9F4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9A50F81" w14:textId="616A62A2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88.8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C50A18E" w14:textId="23EDD44E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1.7</w:t>
            </w:r>
          </w:p>
        </w:tc>
      </w:tr>
      <w:tr w:rsidR="00C7460A" w:rsidRPr="00F11EF5" w14:paraId="7CED43BA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7544936B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334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62D863B5" w14:textId="77777777" w:rsidR="00C7460A" w:rsidRPr="00F11EF5" w:rsidRDefault="00C7460A" w:rsidP="00C7460A">
            <w:pPr>
              <w:snapToGrid w:val="0"/>
              <w:spacing w:before="20" w:after="20"/>
              <w:ind w:left="-96" w:right="-70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equipo de computación, comunicación, medición y de otros equipos, componentes y accesorios electrónicos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2761011" w14:textId="0B522D35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6531293" w14:textId="26D81CEA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93.2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5BFC664B" w14:textId="04DFC038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4.5</w:t>
            </w:r>
          </w:p>
        </w:tc>
      </w:tr>
      <w:tr w:rsidR="00C7460A" w:rsidRPr="00F11EF5" w14:paraId="04535DF1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354C39C5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335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48511681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accesorios, aparatos eléctricos y equipo de generación de energía eléctrica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69D927D4" w14:textId="5962514D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93.3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4AD9EF78" w14:textId="48842186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93.2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25C4A750" w14:textId="72AEB432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-0.1</w:t>
            </w:r>
          </w:p>
        </w:tc>
      </w:tr>
      <w:tr w:rsidR="00C7460A" w:rsidRPr="00F11EF5" w14:paraId="3BA11DAA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0D478AAB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336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0C9F8ABB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equipo de transporte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5F99DBC8" w14:textId="4C0B5C05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88.2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C917C2C" w14:textId="2EE3385F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88.6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645568C4" w14:textId="4D487A2B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0.4</w:t>
            </w:r>
          </w:p>
        </w:tc>
      </w:tr>
      <w:tr w:rsidR="00C7460A" w:rsidRPr="00F11EF5" w14:paraId="4712CD53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4" w:space="0" w:color="C6D9F1" w:themeColor="text2" w:themeTint="33"/>
              <w:right w:val="nil"/>
            </w:tcBorders>
            <w:vAlign w:val="center"/>
            <w:hideMark/>
          </w:tcPr>
          <w:p w14:paraId="2EFBE344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337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  <w:hideMark/>
          </w:tcPr>
          <w:p w14:paraId="104A7FBF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Fabricación de muebles, colchones y persianas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15138646" w14:textId="025F5F03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6" w:space="0" w:color="1F497D" w:themeColor="text2"/>
            </w:tcBorders>
            <w:vAlign w:val="center"/>
          </w:tcPr>
          <w:p w14:paraId="2912F4A3" w14:textId="08897D40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78.9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4" w:space="0" w:color="C6D9F1" w:themeColor="text2" w:themeTint="33"/>
              <w:right w:val="single" w:sz="8" w:space="0" w:color="1F497D" w:themeColor="text2"/>
            </w:tcBorders>
            <w:vAlign w:val="center"/>
          </w:tcPr>
          <w:p w14:paraId="573FD673" w14:textId="3C2E7913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3.5</w:t>
            </w:r>
          </w:p>
        </w:tc>
      </w:tr>
      <w:tr w:rsidR="00C7460A" w:rsidRPr="00F11EF5" w14:paraId="5EE105B3" w14:textId="77777777" w:rsidTr="00C7460A">
        <w:trPr>
          <w:jc w:val="center"/>
        </w:trPr>
        <w:tc>
          <w:tcPr>
            <w:tcW w:w="746" w:type="dxa"/>
            <w:tcBorders>
              <w:top w:val="single" w:sz="4" w:space="0" w:color="C6D9F1" w:themeColor="text2" w:themeTint="33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  <w:hideMark/>
          </w:tcPr>
          <w:p w14:paraId="375BB0EF" w14:textId="77777777" w:rsidR="00C7460A" w:rsidRPr="00F11EF5" w:rsidRDefault="00C7460A" w:rsidP="00C7460A">
            <w:pPr>
              <w:snapToGrid w:val="0"/>
              <w:spacing w:before="20" w:after="20"/>
              <w:ind w:left="-113" w:right="57"/>
              <w:jc w:val="right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339</w:t>
            </w:r>
          </w:p>
        </w:tc>
        <w:tc>
          <w:tcPr>
            <w:tcW w:w="5844" w:type="dxa"/>
            <w:tcBorders>
              <w:top w:val="single" w:sz="4" w:space="0" w:color="C6D9F1" w:themeColor="text2" w:themeTint="33"/>
              <w:left w:val="nil"/>
              <w:bottom w:val="single" w:sz="8" w:space="0" w:color="1F497D" w:themeColor="text2"/>
              <w:right w:val="single" w:sz="6" w:space="0" w:color="1F497D" w:themeColor="text2"/>
            </w:tcBorders>
            <w:vAlign w:val="center"/>
            <w:hideMark/>
          </w:tcPr>
          <w:p w14:paraId="539F9B1D" w14:textId="77777777" w:rsidR="00C7460A" w:rsidRPr="00F11EF5" w:rsidRDefault="00C7460A" w:rsidP="00C7460A">
            <w:pPr>
              <w:snapToGrid w:val="0"/>
              <w:spacing w:before="20" w:after="20"/>
              <w:ind w:left="-96"/>
              <w:rPr>
                <w:sz w:val="18"/>
                <w:szCs w:val="18"/>
                <w:lang w:val="es-MX" w:eastAsia="es-MX"/>
              </w:rPr>
            </w:pPr>
            <w:r w:rsidRPr="00F11EF5">
              <w:rPr>
                <w:sz w:val="18"/>
                <w:szCs w:val="18"/>
                <w:lang w:val="es-MX" w:eastAsia="es-MX"/>
              </w:rPr>
              <w:t>Otras industrias manufactureras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8" w:space="0" w:color="1F497D" w:themeColor="text2"/>
              <w:right w:val="single" w:sz="6" w:space="0" w:color="1F497D" w:themeColor="text2"/>
            </w:tcBorders>
            <w:vAlign w:val="center"/>
          </w:tcPr>
          <w:p w14:paraId="2D0E7CA8" w14:textId="1BAD8F1A" w:rsidR="00C7460A" w:rsidRPr="00F11EF5" w:rsidRDefault="00C7460A" w:rsidP="00C7460A">
            <w:pPr>
              <w:tabs>
                <w:tab w:val="decimal" w:pos="464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88.8</w:t>
            </w:r>
          </w:p>
        </w:tc>
        <w:tc>
          <w:tcPr>
            <w:tcW w:w="1121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8" w:space="0" w:color="1F497D" w:themeColor="text2"/>
              <w:right w:val="single" w:sz="6" w:space="0" w:color="1F497D" w:themeColor="text2"/>
            </w:tcBorders>
            <w:vAlign w:val="center"/>
          </w:tcPr>
          <w:p w14:paraId="1FD0F9B2" w14:textId="788DECA6" w:rsidR="00C7460A" w:rsidRPr="00F11EF5" w:rsidRDefault="00C7460A" w:rsidP="00C7460A">
            <w:pPr>
              <w:tabs>
                <w:tab w:val="decimal" w:pos="452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89.1</w:t>
            </w:r>
          </w:p>
        </w:tc>
        <w:tc>
          <w:tcPr>
            <w:tcW w:w="1122" w:type="dxa"/>
            <w:tcBorders>
              <w:top w:val="single" w:sz="4" w:space="0" w:color="C6D9F1" w:themeColor="text2" w:themeTint="33"/>
              <w:left w:val="single" w:sz="6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2F07F223" w14:textId="1987FC14" w:rsidR="00C7460A" w:rsidRPr="00F11EF5" w:rsidRDefault="00C7460A" w:rsidP="00C7460A">
            <w:pPr>
              <w:tabs>
                <w:tab w:val="decimal" w:pos="451"/>
              </w:tabs>
              <w:jc w:val="left"/>
              <w:rPr>
                <w:sz w:val="18"/>
                <w:szCs w:val="18"/>
              </w:rPr>
            </w:pPr>
            <w:r w:rsidRPr="00F11EF5">
              <w:rPr>
                <w:color w:val="000000"/>
                <w:sz w:val="18"/>
                <w:szCs w:val="18"/>
              </w:rPr>
              <w:t>0.3</w:t>
            </w:r>
          </w:p>
        </w:tc>
      </w:tr>
    </w:tbl>
    <w:p w14:paraId="1CB152C2" w14:textId="44EB141D" w:rsidR="0031042B" w:rsidRPr="00F11EF5" w:rsidRDefault="0031042B" w:rsidP="00224A5C">
      <w:pPr>
        <w:pStyle w:val="p0"/>
        <w:keepLines w:val="0"/>
        <w:spacing w:before="0"/>
        <w:ind w:left="658" w:right="55" w:hanging="596"/>
        <w:rPr>
          <w:rFonts w:ascii="Arial" w:hAnsi="Arial"/>
          <w:color w:val="auto"/>
          <w:sz w:val="16"/>
          <w:szCs w:val="16"/>
        </w:rPr>
      </w:pPr>
      <w:r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1/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ab/>
      </w:r>
      <w:r w:rsidRPr="00F11EF5">
        <w:rPr>
          <w:rFonts w:ascii="Arial" w:hAnsi="Arial"/>
          <w:color w:val="auto"/>
          <w:sz w:val="16"/>
          <w:szCs w:val="16"/>
        </w:rPr>
        <w:t>Porcentaje que indica la relación entre el volumen de la producción obtenida por las unidades económicas y el volumen de producción que, de manera potencial, podría generarse en un periodo determinado. Lo anterior, de acuerdo con las condiciones de infraestructura, equipamiento, procedimientos técnicos y de organización, así como recursos humanos y materiales que se utilizan.</w:t>
      </w:r>
    </w:p>
    <w:p w14:paraId="2D5797B4" w14:textId="77777777" w:rsidR="0031042B" w:rsidRPr="00F11EF5" w:rsidRDefault="0031042B" w:rsidP="00224A5C">
      <w:pPr>
        <w:pStyle w:val="p0"/>
        <w:keepLines w:val="0"/>
        <w:spacing w:before="0"/>
        <w:ind w:left="658" w:right="55" w:firstLine="14"/>
        <w:rPr>
          <w:rFonts w:ascii="Arial" w:hAnsi="Arial"/>
          <w:color w:val="auto"/>
          <w:position w:val="-2"/>
          <w:sz w:val="16"/>
          <w:szCs w:val="16"/>
        </w:rPr>
      </w:pPr>
      <w:r w:rsidRPr="00F11EF5">
        <w:rPr>
          <w:rFonts w:ascii="Arial" w:hAnsi="Arial"/>
          <w:color w:val="auto"/>
          <w:position w:val="-2"/>
          <w:sz w:val="16"/>
          <w:szCs w:val="16"/>
        </w:rPr>
        <w:t xml:space="preserve">El procedimiento se efectúa a nivel de clase de actividad. Para la obtención de los siguientes niveles de agregación (rama, subsector y sector), se aplica el mismo procedimiento y se ponderan las clases de actividad, ramas y subsectores que conforman los agregados respectivos en función del valor de producción. </w:t>
      </w:r>
    </w:p>
    <w:p w14:paraId="096F65F8" w14:textId="53C530F1" w:rsidR="0031042B" w:rsidRPr="00F11EF5" w:rsidRDefault="0031042B" w:rsidP="00224A5C">
      <w:pPr>
        <w:pStyle w:val="p0"/>
        <w:keepLines w:val="0"/>
        <w:spacing w:before="20"/>
        <w:ind w:left="658" w:right="51"/>
        <w:rPr>
          <w:rFonts w:ascii="Arial" w:hAnsi="Arial"/>
          <w:color w:val="auto"/>
          <w:position w:val="-2"/>
          <w:sz w:val="16"/>
          <w:szCs w:val="16"/>
        </w:rPr>
      </w:pPr>
      <w:r w:rsidRPr="00F11EF5">
        <w:rPr>
          <w:rFonts w:ascii="Arial" w:hAnsi="Arial"/>
          <w:color w:val="auto"/>
          <w:position w:val="-2"/>
          <w:sz w:val="16"/>
          <w:szCs w:val="16"/>
        </w:rPr>
        <w:t xml:space="preserve">Este indicador se expresa en porcentaje porque así se obtiene mediante una pregunta del cuestionario de la </w:t>
      </w:r>
      <w:r w:rsidR="00B53992" w:rsidRPr="00F11EF5">
        <w:rPr>
          <w:rFonts w:ascii="Arial" w:hAnsi="Arial"/>
          <w:smallCaps/>
          <w:color w:val="auto"/>
          <w:position w:val="-2"/>
          <w:sz w:val="16"/>
          <w:szCs w:val="16"/>
        </w:rPr>
        <w:t>emim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 xml:space="preserve">. Por ello, el resultado tiende a </w:t>
      </w:r>
      <w:r w:rsidR="002B64D1" w:rsidRPr="00F11EF5">
        <w:rPr>
          <w:rFonts w:ascii="Arial" w:hAnsi="Arial"/>
          <w:color w:val="auto"/>
          <w:position w:val="-2"/>
          <w:sz w:val="16"/>
          <w:szCs w:val="16"/>
        </w:rPr>
        <w:t>100</w:t>
      </w:r>
      <w:r w:rsidR="00435116" w:rsidRPr="00F11EF5">
        <w:rPr>
          <w:rFonts w:ascii="Arial" w:hAnsi="Arial"/>
          <w:color w:val="auto"/>
          <w:position w:val="-2"/>
          <w:sz w:val="16"/>
          <w:szCs w:val="16"/>
        </w:rPr>
        <w:t> por ciento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>. De esta manera, se indica la capacidad de planta efectivamente utilizada en el mes de referencia. Se obtiene el porcentaje referente a la capacidad ociosa por diferencia.</w:t>
      </w:r>
    </w:p>
    <w:p w14:paraId="517C3E0A" w14:textId="53645CC5" w:rsidR="0031042B" w:rsidRPr="00F11EF5" w:rsidRDefault="0031042B" w:rsidP="00224A5C">
      <w:pPr>
        <w:pStyle w:val="p0"/>
        <w:keepLines w:val="0"/>
        <w:spacing w:before="0"/>
        <w:ind w:left="658" w:right="57" w:hanging="596"/>
        <w:rPr>
          <w:rFonts w:ascii="Arial" w:hAnsi="Arial"/>
          <w:color w:val="auto"/>
          <w:position w:val="-2"/>
          <w:sz w:val="18"/>
          <w:szCs w:val="18"/>
          <w:vertAlign w:val="superscript"/>
        </w:rPr>
      </w:pPr>
      <w:r w:rsidRPr="00F11EF5">
        <w:rPr>
          <w:rFonts w:ascii="Arial" w:hAnsi="Arial"/>
          <w:color w:val="auto"/>
          <w:position w:val="-2"/>
          <w:sz w:val="16"/>
          <w:szCs w:val="16"/>
          <w:vertAlign w:val="superscript"/>
        </w:rPr>
        <w:t>p/</w:t>
      </w:r>
      <w:r w:rsidRPr="00F11EF5">
        <w:rPr>
          <w:rFonts w:ascii="Arial" w:hAnsi="Arial"/>
          <w:color w:val="auto"/>
          <w:position w:val="-2"/>
          <w:sz w:val="16"/>
          <w:szCs w:val="16"/>
        </w:rPr>
        <w:tab/>
      </w:r>
      <w:r w:rsidRPr="00F11EF5">
        <w:rPr>
          <w:rFonts w:ascii="Arial" w:hAnsi="Arial"/>
          <w:color w:val="auto"/>
          <w:sz w:val="16"/>
          <w:szCs w:val="16"/>
        </w:rPr>
        <w:t>Cifras preliminares</w:t>
      </w:r>
      <w:r w:rsidR="001F132E" w:rsidRPr="00F11EF5">
        <w:rPr>
          <w:rFonts w:ascii="Arial" w:hAnsi="Arial"/>
          <w:color w:val="auto"/>
          <w:sz w:val="16"/>
          <w:szCs w:val="16"/>
        </w:rPr>
        <w:t>.</w:t>
      </w:r>
    </w:p>
    <w:p w14:paraId="2664DD00" w14:textId="030A79E2" w:rsidR="0031042B" w:rsidRPr="00F11EF5" w:rsidRDefault="0031042B" w:rsidP="00224A5C">
      <w:pPr>
        <w:pStyle w:val="p0"/>
        <w:keepLines w:val="0"/>
        <w:tabs>
          <w:tab w:val="decimal" w:pos="1008"/>
        </w:tabs>
        <w:spacing w:before="0"/>
        <w:ind w:left="284" w:right="55" w:hanging="222"/>
        <w:rPr>
          <w:rFonts w:ascii="Arial" w:hAnsi="Arial"/>
          <w:color w:val="auto"/>
          <w:sz w:val="16"/>
          <w:szCs w:val="16"/>
        </w:rPr>
      </w:pPr>
      <w:r w:rsidRPr="00F11EF5">
        <w:rPr>
          <w:rFonts w:ascii="Arial" w:hAnsi="Arial"/>
          <w:color w:val="auto"/>
          <w:sz w:val="16"/>
          <w:szCs w:val="16"/>
        </w:rPr>
        <w:t>Fuente:</w:t>
      </w:r>
      <w:r w:rsidR="00224A5C" w:rsidRPr="00F11EF5">
        <w:rPr>
          <w:rFonts w:ascii="Arial" w:hAnsi="Arial"/>
          <w:color w:val="auto"/>
          <w:sz w:val="16"/>
          <w:szCs w:val="16"/>
        </w:rPr>
        <w:tab/>
      </w:r>
      <w:r w:rsidR="00B771BD" w:rsidRPr="00F11EF5">
        <w:rPr>
          <w:rFonts w:ascii="Arial" w:hAnsi="Arial"/>
          <w:smallCaps/>
          <w:color w:val="auto"/>
          <w:sz w:val="16"/>
          <w:szCs w:val="16"/>
        </w:rPr>
        <w:t>inegi</w:t>
      </w:r>
      <w:r w:rsidR="001F132E" w:rsidRPr="00F11EF5">
        <w:rPr>
          <w:rFonts w:ascii="Arial" w:hAnsi="Arial"/>
          <w:color w:val="auto"/>
          <w:sz w:val="16"/>
        </w:rPr>
        <w:t xml:space="preserve">. </w:t>
      </w:r>
      <w:r w:rsidR="00B53992" w:rsidRPr="00F11EF5">
        <w:rPr>
          <w:rFonts w:ascii="Arial" w:hAnsi="Arial"/>
          <w:smallCaps/>
          <w:color w:val="auto"/>
          <w:sz w:val="16"/>
        </w:rPr>
        <w:t>emim</w:t>
      </w:r>
      <w:r w:rsidR="001F132E" w:rsidRPr="00F11EF5">
        <w:rPr>
          <w:rFonts w:ascii="Arial" w:hAnsi="Arial"/>
          <w:color w:val="auto"/>
          <w:sz w:val="16"/>
        </w:rPr>
        <w:t>, 202</w:t>
      </w:r>
      <w:r w:rsidR="006D6CAB" w:rsidRPr="00F11EF5">
        <w:rPr>
          <w:rFonts w:ascii="Arial" w:hAnsi="Arial"/>
          <w:color w:val="auto"/>
          <w:sz w:val="16"/>
        </w:rPr>
        <w:t>4</w:t>
      </w:r>
      <w:r w:rsidR="001F132E" w:rsidRPr="00F11EF5">
        <w:rPr>
          <w:rFonts w:ascii="Arial" w:hAnsi="Arial"/>
          <w:color w:val="auto"/>
          <w:sz w:val="16"/>
        </w:rPr>
        <w:t>.</w:t>
      </w:r>
    </w:p>
    <w:p w14:paraId="0745FB47" w14:textId="465A32E4" w:rsidR="00095006" w:rsidRPr="00F11EF5" w:rsidRDefault="006D6CAB" w:rsidP="00224A5C">
      <w:pPr>
        <w:pStyle w:val="p0"/>
        <w:keepLines w:val="0"/>
        <w:widowControl/>
        <w:spacing w:before="480"/>
        <w:rPr>
          <w:rFonts w:ascii="Arial" w:hAnsi="Arial"/>
          <w:b/>
          <w:smallCaps/>
          <w:color w:val="auto"/>
        </w:rPr>
      </w:pPr>
      <w:r w:rsidRPr="00F11EF5">
        <w:rPr>
          <w:rFonts w:ascii="Arial" w:hAnsi="Arial"/>
          <w:b/>
          <w:smallCaps/>
          <w:color w:val="auto"/>
        </w:rPr>
        <w:t>nota metodológica</w:t>
      </w:r>
    </w:p>
    <w:p w14:paraId="4714B3CF" w14:textId="318D7A9F" w:rsidR="00E83FFC" w:rsidRPr="00F11EF5" w:rsidRDefault="00DA7BD3" w:rsidP="008C0CAD">
      <w:pPr>
        <w:pStyle w:val="p0"/>
        <w:keepLines w:val="0"/>
        <w:widowControl/>
        <w:rPr>
          <w:rFonts w:ascii="Arial" w:hAnsi="Arial"/>
          <w:color w:val="auto"/>
          <w:lang w:val="es-MX"/>
        </w:rPr>
      </w:pPr>
      <w:r w:rsidRPr="00F11EF5">
        <w:rPr>
          <w:rFonts w:ascii="Arial" w:hAnsi="Arial"/>
          <w:snapToGrid/>
          <w:color w:val="auto"/>
        </w:rPr>
        <w:t>La</w:t>
      </w:r>
      <w:r w:rsidRPr="00F11EF5">
        <w:rPr>
          <w:rFonts w:ascii="Arial" w:hAnsi="Arial"/>
          <w:color w:val="auto"/>
        </w:rPr>
        <w:t xml:space="preserve"> </w:t>
      </w:r>
      <w:r w:rsidR="00307DED" w:rsidRPr="00F11EF5">
        <w:rPr>
          <w:rFonts w:ascii="Arial" w:hAnsi="Arial"/>
          <w:smallCaps/>
          <w:color w:val="auto"/>
        </w:rPr>
        <w:t>emim</w:t>
      </w:r>
      <w:r w:rsidRPr="00F11EF5">
        <w:rPr>
          <w:rFonts w:ascii="Arial" w:hAnsi="Arial"/>
          <w:color w:val="auto"/>
        </w:rPr>
        <w:t xml:space="preserve"> </w:t>
      </w:r>
      <w:r w:rsidR="008C0CAD" w:rsidRPr="00F11EF5">
        <w:rPr>
          <w:rFonts w:ascii="Arial" w:hAnsi="Arial"/>
          <w:color w:val="auto"/>
        </w:rPr>
        <w:t xml:space="preserve">tiene como año base de referencia 2018 y </w:t>
      </w:r>
      <w:r w:rsidR="00A47EB9" w:rsidRPr="00F11EF5">
        <w:rPr>
          <w:rFonts w:ascii="Arial" w:hAnsi="Arial"/>
          <w:color w:val="auto"/>
        </w:rPr>
        <w:t>mide</w:t>
      </w:r>
      <w:r w:rsidRPr="00F11EF5">
        <w:rPr>
          <w:rFonts w:ascii="Arial" w:hAnsi="Arial"/>
          <w:color w:val="auto"/>
        </w:rPr>
        <w:t xml:space="preserve"> 2</w:t>
      </w:r>
      <w:r w:rsidR="00A47EB9" w:rsidRPr="00F11EF5">
        <w:rPr>
          <w:rFonts w:ascii="Arial" w:hAnsi="Arial"/>
          <w:color w:val="auto"/>
        </w:rPr>
        <w:t>06</w:t>
      </w:r>
      <w:r w:rsidRPr="00F11EF5">
        <w:rPr>
          <w:rFonts w:ascii="Arial" w:hAnsi="Arial"/>
          <w:color w:val="auto"/>
        </w:rPr>
        <w:t xml:space="preserve"> clases de actividad.</w:t>
      </w:r>
      <w:r w:rsidR="00E83FFC" w:rsidRPr="00F11EF5">
        <w:rPr>
          <w:rFonts w:ascii="Arial" w:hAnsi="Arial"/>
          <w:color w:val="auto"/>
          <w:lang w:val="es-MX"/>
        </w:rPr>
        <w:t xml:space="preserve"> El diseño conceptual, el instrumento de captación, los procesos de validación, los tabulados, la valoración de la producción y la temporalidad de generación de indicadores se basan en las </w:t>
      </w:r>
      <w:r w:rsidR="00E83FFC" w:rsidRPr="00F11EF5">
        <w:rPr>
          <w:rFonts w:ascii="Arial" w:hAnsi="Arial"/>
          <w:i/>
          <w:iCs/>
          <w:color w:val="auto"/>
          <w:lang w:val="es-MX"/>
        </w:rPr>
        <w:t xml:space="preserve">Recomendaciones </w:t>
      </w:r>
      <w:r w:rsidR="00554D05" w:rsidRPr="00F11EF5">
        <w:rPr>
          <w:rFonts w:ascii="Arial" w:hAnsi="Arial"/>
          <w:i/>
          <w:iCs/>
          <w:color w:val="auto"/>
          <w:lang w:val="es-MX"/>
        </w:rPr>
        <w:t>i</w:t>
      </w:r>
      <w:r w:rsidR="00E83FFC" w:rsidRPr="00F11EF5">
        <w:rPr>
          <w:rFonts w:ascii="Arial" w:hAnsi="Arial"/>
          <w:i/>
          <w:iCs/>
          <w:color w:val="auto"/>
          <w:lang w:val="es-MX"/>
        </w:rPr>
        <w:t xml:space="preserve">nternacionales para </w:t>
      </w:r>
      <w:r w:rsidR="00554D05" w:rsidRPr="00F11EF5">
        <w:rPr>
          <w:rFonts w:ascii="Arial" w:hAnsi="Arial"/>
          <w:i/>
          <w:iCs/>
          <w:color w:val="auto"/>
          <w:lang w:val="es-MX"/>
        </w:rPr>
        <w:t>e</w:t>
      </w:r>
      <w:r w:rsidR="00E83FFC" w:rsidRPr="00F11EF5">
        <w:rPr>
          <w:rFonts w:ascii="Arial" w:hAnsi="Arial"/>
          <w:i/>
          <w:iCs/>
          <w:color w:val="auto"/>
          <w:lang w:val="es-MX"/>
        </w:rPr>
        <w:t xml:space="preserve">stadísticas </w:t>
      </w:r>
      <w:r w:rsidR="00554D05" w:rsidRPr="00F11EF5">
        <w:rPr>
          <w:rFonts w:ascii="Arial" w:hAnsi="Arial"/>
          <w:i/>
          <w:iCs/>
          <w:color w:val="auto"/>
          <w:lang w:val="es-MX"/>
        </w:rPr>
        <w:t>i</w:t>
      </w:r>
      <w:r w:rsidR="00E83FFC" w:rsidRPr="00F11EF5">
        <w:rPr>
          <w:rFonts w:ascii="Arial" w:hAnsi="Arial"/>
          <w:i/>
          <w:iCs/>
          <w:color w:val="auto"/>
          <w:lang w:val="es-MX"/>
        </w:rPr>
        <w:t>ndustriales</w:t>
      </w:r>
      <w:r w:rsidR="00A47EB9" w:rsidRPr="00F11EF5">
        <w:rPr>
          <w:rFonts w:ascii="Arial" w:hAnsi="Arial"/>
          <w:i/>
          <w:iCs/>
          <w:color w:val="auto"/>
          <w:lang w:val="es-MX"/>
        </w:rPr>
        <w:t xml:space="preserve"> 2008</w:t>
      </w:r>
      <w:r w:rsidR="00E83FFC" w:rsidRPr="00F11EF5">
        <w:rPr>
          <w:rFonts w:ascii="Arial" w:hAnsi="Arial"/>
          <w:color w:val="auto"/>
          <w:lang w:val="es-MX"/>
        </w:rPr>
        <w:t xml:space="preserve"> de Naciones Unidas.</w:t>
      </w:r>
    </w:p>
    <w:p w14:paraId="25A01237" w14:textId="47CD6554" w:rsidR="00DA7BD3" w:rsidRPr="00F11EF5" w:rsidRDefault="6CF80BE1" w:rsidP="00C16973">
      <w:pPr>
        <w:pStyle w:val="p0"/>
        <w:keepLines w:val="0"/>
        <w:widowControl/>
        <w:rPr>
          <w:rFonts w:ascii="Arial" w:hAnsi="Arial"/>
          <w:color w:val="auto"/>
        </w:rPr>
      </w:pPr>
      <w:r w:rsidRPr="00F11EF5">
        <w:rPr>
          <w:rFonts w:ascii="Arial" w:hAnsi="Arial"/>
          <w:color w:val="auto"/>
        </w:rPr>
        <w:lastRenderedPageBreak/>
        <w:t xml:space="preserve">La </w:t>
      </w:r>
      <w:r w:rsidR="00307DED" w:rsidRPr="00F11EF5">
        <w:rPr>
          <w:rFonts w:ascii="Arial" w:hAnsi="Arial"/>
          <w:smallCaps/>
          <w:color w:val="auto"/>
        </w:rPr>
        <w:t>emim</w:t>
      </w:r>
      <w:r w:rsidRPr="00F11EF5">
        <w:rPr>
          <w:rFonts w:ascii="Arial" w:hAnsi="Arial"/>
          <w:color w:val="auto"/>
        </w:rPr>
        <w:t xml:space="preserve"> aplica la </w:t>
      </w:r>
      <w:r w:rsidR="00766E61" w:rsidRPr="00F11EF5">
        <w:rPr>
          <w:rFonts w:ascii="Arial" w:eastAsia="Malgun Gothic" w:hAnsi="Arial"/>
          <w:color w:val="auto"/>
        </w:rPr>
        <w:t>«</w:t>
      </w:r>
      <w:r w:rsidRPr="00F11EF5">
        <w:rPr>
          <w:rFonts w:ascii="Arial" w:hAnsi="Arial"/>
          <w:color w:val="auto"/>
        </w:rPr>
        <w:t>Norma Técnica del Proceso de Producción de Información Estadística y Geográfica</w:t>
      </w:r>
      <w:r w:rsidR="00766E61" w:rsidRPr="00F11EF5">
        <w:rPr>
          <w:rFonts w:ascii="Arial" w:hAnsi="Arial"/>
          <w:color w:val="auto"/>
        </w:rPr>
        <w:t>»</w:t>
      </w:r>
      <w:r w:rsidRPr="00F11EF5">
        <w:rPr>
          <w:rFonts w:ascii="Arial" w:hAnsi="Arial"/>
          <w:color w:val="auto"/>
        </w:rPr>
        <w:t xml:space="preserve">. Esta proporciona un marco normativo regulatorio </w:t>
      </w:r>
      <w:r w:rsidR="492EEB30" w:rsidRPr="00F11EF5">
        <w:rPr>
          <w:rFonts w:ascii="Arial" w:hAnsi="Arial"/>
          <w:color w:val="auto"/>
        </w:rPr>
        <w:t>para</w:t>
      </w:r>
      <w:r w:rsidRPr="00F11EF5">
        <w:rPr>
          <w:rFonts w:ascii="Arial" w:hAnsi="Arial"/>
          <w:color w:val="auto"/>
        </w:rPr>
        <w:t xml:space="preserve"> producir información estadística en México. También retoma los principios </w:t>
      </w:r>
      <w:r w:rsidRPr="00F11EF5">
        <w:rPr>
          <w:rFonts w:ascii="Arial" w:hAnsi="Arial"/>
          <w:color w:val="auto"/>
          <w:lang w:val="es-MX"/>
        </w:rPr>
        <w:t>conceptuales</w:t>
      </w:r>
      <w:r w:rsidRPr="00F11EF5">
        <w:rPr>
          <w:rFonts w:ascii="Arial" w:hAnsi="Arial"/>
          <w:color w:val="auto"/>
        </w:rPr>
        <w:t xml:space="preserve"> y metodológicos de la </w:t>
      </w:r>
      <w:r w:rsidR="69A74C29" w:rsidRPr="00F11EF5">
        <w:rPr>
          <w:rFonts w:ascii="Arial" w:hAnsi="Arial"/>
          <w:color w:val="auto"/>
        </w:rPr>
        <w:t>«</w:t>
      </w:r>
      <w:r w:rsidRPr="00F11EF5">
        <w:rPr>
          <w:rFonts w:ascii="Arial" w:hAnsi="Arial"/>
          <w:color w:val="auto"/>
        </w:rPr>
        <w:t>Ley del Sistema Nacional de Información Estadística y Geográfica</w:t>
      </w:r>
      <w:r w:rsidR="69A74C29" w:rsidRPr="00F11EF5">
        <w:rPr>
          <w:rFonts w:ascii="Arial" w:hAnsi="Arial"/>
          <w:color w:val="auto"/>
        </w:rPr>
        <w:t>»</w:t>
      </w:r>
      <w:r w:rsidRPr="00F11EF5">
        <w:rPr>
          <w:rFonts w:ascii="Arial" w:hAnsi="Arial"/>
          <w:color w:val="auto"/>
        </w:rPr>
        <w:t xml:space="preserve">, de la </w:t>
      </w:r>
      <w:r w:rsidR="69A74C29" w:rsidRPr="00F11EF5">
        <w:rPr>
          <w:rFonts w:ascii="Arial" w:hAnsi="Arial"/>
          <w:color w:val="auto"/>
        </w:rPr>
        <w:t>«</w:t>
      </w:r>
      <w:r w:rsidRPr="00F11EF5">
        <w:rPr>
          <w:rFonts w:ascii="Arial" w:hAnsi="Arial"/>
          <w:color w:val="auto"/>
        </w:rPr>
        <w:t>Norma Técnica para la Generación de Estadística Básica</w:t>
      </w:r>
      <w:r w:rsidR="69A74C29" w:rsidRPr="00F11EF5">
        <w:rPr>
          <w:rFonts w:ascii="Arial" w:hAnsi="Arial"/>
          <w:color w:val="auto"/>
        </w:rPr>
        <w:t>»</w:t>
      </w:r>
      <w:r w:rsidRPr="00F11EF5">
        <w:rPr>
          <w:rFonts w:ascii="Arial" w:hAnsi="Arial"/>
          <w:color w:val="auto"/>
        </w:rPr>
        <w:t xml:space="preserve"> y de la </w:t>
      </w:r>
      <w:r w:rsidR="4A3DC490" w:rsidRPr="00F11EF5">
        <w:rPr>
          <w:rFonts w:ascii="Arial" w:hAnsi="Arial"/>
          <w:color w:val="auto"/>
        </w:rPr>
        <w:t>«</w:t>
      </w:r>
      <w:r w:rsidRPr="00F11EF5">
        <w:rPr>
          <w:rFonts w:ascii="Arial" w:hAnsi="Arial"/>
          <w:color w:val="auto"/>
        </w:rPr>
        <w:t>Norma para el Aseguramiento de la Calidad de la Información Estadística y Geográfica</w:t>
      </w:r>
      <w:r w:rsidR="69A74C29" w:rsidRPr="00F11EF5">
        <w:rPr>
          <w:rFonts w:ascii="Arial" w:hAnsi="Arial"/>
          <w:color w:val="auto"/>
        </w:rPr>
        <w:t>»</w:t>
      </w:r>
      <w:r w:rsidRPr="00F11EF5">
        <w:rPr>
          <w:rFonts w:ascii="Arial" w:hAnsi="Arial"/>
          <w:color w:val="auto"/>
        </w:rPr>
        <w:t>.</w:t>
      </w:r>
    </w:p>
    <w:p w14:paraId="37605C2C" w14:textId="68767A04" w:rsidR="00DA7BD3" w:rsidRPr="00F11EF5" w:rsidRDefault="00DA7BD3" w:rsidP="00C16973">
      <w:pPr>
        <w:spacing w:before="240"/>
        <w:rPr>
          <w:color w:val="000000" w:themeColor="text1"/>
        </w:rPr>
      </w:pPr>
      <w:r w:rsidRPr="00F11EF5">
        <w:t xml:space="preserve">La unidad de observación de la encuesta </w:t>
      </w:r>
      <w:r w:rsidR="006E7053" w:rsidRPr="00F11EF5">
        <w:rPr>
          <w:color w:val="000000" w:themeColor="text1"/>
        </w:rPr>
        <w:t>es el establecimiento manufacturero</w:t>
      </w:r>
      <w:r w:rsidR="00B76C39" w:rsidRPr="00F11EF5">
        <w:rPr>
          <w:color w:val="000000" w:themeColor="text1"/>
        </w:rPr>
        <w:t>. S</w:t>
      </w:r>
      <w:r w:rsidR="006C7340" w:rsidRPr="00F11EF5">
        <w:rPr>
          <w:color w:val="000000" w:themeColor="text1"/>
        </w:rPr>
        <w:t xml:space="preserve">e incluyen </w:t>
      </w:r>
      <w:r w:rsidR="006E7053" w:rsidRPr="00F11EF5">
        <w:rPr>
          <w:color w:val="000000" w:themeColor="text1"/>
        </w:rPr>
        <w:t>aquellas unidades económicas que se</w:t>
      </w:r>
      <w:r w:rsidR="00257DBC" w:rsidRPr="00F11EF5">
        <w:rPr>
          <w:color w:val="000000" w:themeColor="text1"/>
        </w:rPr>
        <w:t xml:space="preserve"> </w:t>
      </w:r>
      <w:r w:rsidR="006E7053" w:rsidRPr="00F11EF5">
        <w:rPr>
          <w:color w:val="000000" w:themeColor="text1"/>
        </w:rPr>
        <w:t>dedica</w:t>
      </w:r>
      <w:r w:rsidR="00C10AE2" w:rsidRPr="00F11EF5">
        <w:rPr>
          <w:color w:val="000000" w:themeColor="text1"/>
        </w:rPr>
        <w:t>n</w:t>
      </w:r>
      <w:r w:rsidR="00335A90" w:rsidRPr="00F11EF5">
        <w:rPr>
          <w:color w:val="000000" w:themeColor="text1"/>
        </w:rPr>
        <w:t xml:space="preserve">, en particular, </w:t>
      </w:r>
      <w:r w:rsidR="006E7053" w:rsidRPr="00F11EF5">
        <w:rPr>
          <w:color w:val="000000" w:themeColor="text1"/>
        </w:rPr>
        <w:t>a la producción de bienes y la maquila de exportación, independientemente de que dispongan o no del Programa de la Industria Manufacturera, Maquiladora y de Servicios de Exportación.</w:t>
      </w:r>
    </w:p>
    <w:p w14:paraId="61CB449A" w14:textId="5A6D2FC0" w:rsidR="006E7053" w:rsidRPr="00F11EF5" w:rsidRDefault="006E7053" w:rsidP="00C16973">
      <w:pPr>
        <w:spacing w:before="240"/>
        <w:rPr>
          <w:color w:val="000000" w:themeColor="text1"/>
        </w:rPr>
      </w:pPr>
      <w:r w:rsidRPr="00F11EF5">
        <w:rPr>
          <w:color w:val="000000" w:themeColor="text1"/>
        </w:rPr>
        <w:t>El establecimiento manufacturero se define como la unidad económica que, en una ubicación única, delimitada por construcciones e instalaciones fijas, combina recursos bajo un</w:t>
      </w:r>
      <w:r w:rsidR="007966B4" w:rsidRPr="00F11EF5">
        <w:rPr>
          <w:color w:val="000000" w:themeColor="text1"/>
        </w:rPr>
        <w:t>a o un</w:t>
      </w:r>
      <w:r w:rsidRPr="00F11EF5">
        <w:rPr>
          <w:color w:val="000000" w:themeColor="text1"/>
        </w:rPr>
        <w:t xml:space="preserve"> solo propietario o control</w:t>
      </w:r>
      <w:r w:rsidR="006236D1" w:rsidRPr="00F11EF5">
        <w:rPr>
          <w:color w:val="000000" w:themeColor="text1"/>
        </w:rPr>
        <w:t>. Lo anterior,</w:t>
      </w:r>
      <w:r w:rsidRPr="00F11EF5">
        <w:rPr>
          <w:color w:val="000000" w:themeColor="text1"/>
        </w:rPr>
        <w:t xml:space="preserve"> para desarrollar</w:t>
      </w:r>
      <w:r w:rsidR="00C265C4" w:rsidRPr="00F11EF5">
        <w:rPr>
          <w:color w:val="000000" w:themeColor="text1"/>
        </w:rPr>
        <w:t>,</w:t>
      </w:r>
      <w:r w:rsidRPr="00F11EF5">
        <w:rPr>
          <w:color w:val="000000" w:themeColor="text1"/>
        </w:rPr>
        <w:t xml:space="preserve"> por cuenta propia o ajena (maquila)</w:t>
      </w:r>
      <w:r w:rsidR="00C265C4" w:rsidRPr="00F11EF5">
        <w:rPr>
          <w:color w:val="000000" w:themeColor="text1"/>
        </w:rPr>
        <w:t>,</w:t>
      </w:r>
      <w:r w:rsidRPr="00F11EF5">
        <w:rPr>
          <w:color w:val="000000" w:themeColor="text1"/>
        </w:rPr>
        <w:t xml:space="preserve"> actividades de ensamble, procesamiento y transformación total o parcial de materias primas que derivan en la producción de bienes y servicios afines comprendidos</w:t>
      </w:r>
      <w:r w:rsidR="00E476EF" w:rsidRPr="00F11EF5">
        <w:rPr>
          <w:color w:val="000000" w:themeColor="text1"/>
        </w:rPr>
        <w:t>,</w:t>
      </w:r>
      <w:r w:rsidRPr="00F11EF5">
        <w:rPr>
          <w:color w:val="000000" w:themeColor="text1"/>
        </w:rPr>
        <w:t xml:space="preserve"> principalmente</w:t>
      </w:r>
      <w:r w:rsidR="00E476EF" w:rsidRPr="00F11EF5">
        <w:rPr>
          <w:color w:val="000000" w:themeColor="text1"/>
        </w:rPr>
        <w:t>,</w:t>
      </w:r>
      <w:r w:rsidRPr="00F11EF5">
        <w:rPr>
          <w:color w:val="000000" w:themeColor="text1"/>
        </w:rPr>
        <w:t xml:space="preserve"> en una sola clase de actividad económica. </w:t>
      </w:r>
    </w:p>
    <w:p w14:paraId="219C6CE9" w14:textId="30BCA6E9" w:rsidR="006E7053" w:rsidRPr="00F11EF5" w:rsidRDefault="00DA7BD3" w:rsidP="00F37996">
      <w:pPr>
        <w:spacing w:before="240"/>
        <w:rPr>
          <w:color w:val="000000" w:themeColor="text1"/>
        </w:rPr>
      </w:pPr>
      <w:r w:rsidRPr="00F11EF5">
        <w:t xml:space="preserve">La cobertura </w:t>
      </w:r>
      <w:r w:rsidR="000214FB" w:rsidRPr="00F11EF5">
        <w:t xml:space="preserve">del diseño estadístico de la </w:t>
      </w:r>
      <w:r w:rsidR="000214FB" w:rsidRPr="00F11EF5">
        <w:rPr>
          <w:smallCaps/>
        </w:rPr>
        <w:t>emim</w:t>
      </w:r>
      <w:r w:rsidR="000214FB" w:rsidRPr="00F11EF5">
        <w:t xml:space="preserve"> </w:t>
      </w:r>
      <w:r w:rsidR="00A9565C" w:rsidRPr="00F11EF5">
        <w:t>s</w:t>
      </w:r>
      <w:r w:rsidR="000214FB" w:rsidRPr="00F11EF5">
        <w:t xml:space="preserve">erie 2018 </w:t>
      </w:r>
      <w:r w:rsidRPr="00F11EF5">
        <w:t xml:space="preserve">permite obtener </w:t>
      </w:r>
      <w:r w:rsidR="00254102" w:rsidRPr="00F11EF5">
        <w:t>resultados</w:t>
      </w:r>
      <w:r w:rsidRPr="00F11EF5">
        <w:t xml:space="preserve"> a nivel nacional, por clase de actividad, rama, subsector y sector </w:t>
      </w:r>
      <w:r w:rsidR="00320537" w:rsidRPr="00F11EF5">
        <w:rPr>
          <w:color w:val="000000" w:themeColor="text1"/>
        </w:rPr>
        <w:t>correspondiente</w:t>
      </w:r>
      <w:r w:rsidR="008C0CAD" w:rsidRPr="00F11EF5">
        <w:rPr>
          <w:color w:val="000000" w:themeColor="text1"/>
        </w:rPr>
        <w:t xml:space="preserve"> al </w:t>
      </w:r>
      <w:r w:rsidR="00320537" w:rsidRPr="00F11EF5">
        <w:rPr>
          <w:color w:val="000000" w:themeColor="text1"/>
        </w:rPr>
        <w:t>sector 31-33</w:t>
      </w:r>
      <w:r w:rsidR="00E476EF" w:rsidRPr="00F11EF5">
        <w:rPr>
          <w:color w:val="000000" w:themeColor="text1"/>
        </w:rPr>
        <w:t>,</w:t>
      </w:r>
      <w:r w:rsidR="00320537" w:rsidRPr="00F11EF5">
        <w:rPr>
          <w:color w:val="000000" w:themeColor="text1"/>
        </w:rPr>
        <w:t xml:space="preserve"> Industria</w:t>
      </w:r>
      <w:r w:rsidR="00B8296C" w:rsidRPr="00F11EF5">
        <w:rPr>
          <w:color w:val="000000" w:themeColor="text1"/>
        </w:rPr>
        <w:t>s</w:t>
      </w:r>
      <w:r w:rsidR="00320537" w:rsidRPr="00F11EF5">
        <w:rPr>
          <w:color w:val="000000" w:themeColor="text1"/>
        </w:rPr>
        <w:t xml:space="preserve"> manufactureras</w:t>
      </w:r>
      <w:r w:rsidR="00D76D7E" w:rsidRPr="00F11EF5">
        <w:rPr>
          <w:color w:val="000000" w:themeColor="text1"/>
        </w:rPr>
        <w:t>,</w:t>
      </w:r>
      <w:r w:rsidR="00320537" w:rsidRPr="00F11EF5">
        <w:rPr>
          <w:color w:val="000000" w:themeColor="text1"/>
        </w:rPr>
        <w:t xml:space="preserve"> del </w:t>
      </w:r>
      <w:r w:rsidR="006F023B" w:rsidRPr="00F11EF5">
        <w:t>«</w:t>
      </w:r>
      <w:r w:rsidR="00886837" w:rsidRPr="00F11EF5">
        <w:t>Sistema de Clasificación Industrial de América del Norte</w:t>
      </w:r>
      <w:r w:rsidR="006F023B" w:rsidRPr="00F11EF5">
        <w:t>»</w:t>
      </w:r>
      <w:r w:rsidR="00DC2221" w:rsidRPr="00F11EF5">
        <w:t xml:space="preserve"> (</w:t>
      </w:r>
      <w:r w:rsidR="00DC2221" w:rsidRPr="00F11EF5">
        <w:rPr>
          <w:smallCaps/>
        </w:rPr>
        <w:t>scian</w:t>
      </w:r>
      <w:r w:rsidR="00DC2221" w:rsidRPr="00F11EF5">
        <w:t>)</w:t>
      </w:r>
      <w:r w:rsidR="00307DED" w:rsidRPr="00F11EF5">
        <w:t xml:space="preserve"> </w:t>
      </w:r>
      <w:r w:rsidRPr="00F11EF5">
        <w:t>201</w:t>
      </w:r>
      <w:r w:rsidR="00A67D5E" w:rsidRPr="00F11EF5">
        <w:t>8</w:t>
      </w:r>
      <w:r w:rsidRPr="00F11EF5">
        <w:t>.</w:t>
      </w:r>
      <w:r w:rsidR="0091569E" w:rsidRPr="00F11EF5">
        <w:t xml:space="preserve"> </w:t>
      </w:r>
      <w:r w:rsidR="0072207D" w:rsidRPr="00F11EF5">
        <w:t>La encuesta c</w:t>
      </w:r>
      <w:r w:rsidR="00320537" w:rsidRPr="00F11EF5">
        <w:t xml:space="preserve">onsidera </w:t>
      </w:r>
      <w:r w:rsidR="006E7053" w:rsidRPr="00F11EF5">
        <w:t>206</w:t>
      </w:r>
      <w:r w:rsidRPr="00F11EF5">
        <w:t xml:space="preserve"> clases de actividad económica, </w:t>
      </w:r>
      <w:r w:rsidR="006E7053" w:rsidRPr="00F11EF5">
        <w:t>181</w:t>
      </w:r>
      <w:r w:rsidRPr="00F11EF5">
        <w:t xml:space="preserve"> tienen un diseño no probabilístico y </w:t>
      </w:r>
      <w:r w:rsidR="006E7053" w:rsidRPr="00F11EF5">
        <w:t>25</w:t>
      </w:r>
      <w:r w:rsidRPr="00F11EF5">
        <w:t xml:space="preserve"> probabilístico.</w:t>
      </w:r>
      <w:r w:rsidR="00E83FFC" w:rsidRPr="00F11EF5">
        <w:t xml:space="preserve"> </w:t>
      </w:r>
      <w:r w:rsidR="006E7053" w:rsidRPr="00F11EF5">
        <w:rPr>
          <w:color w:val="000000" w:themeColor="text1"/>
        </w:rPr>
        <w:t>Los establecimientos de las clases con diseño no probabilístico se seleccionaron de mayor a menor con base en su contribución en la variable de total de ingresos por suministro de bienes y servicios.</w:t>
      </w:r>
      <w:r w:rsidRPr="00F11EF5">
        <w:t xml:space="preserve"> El tamaño de muestra se obtuvo al acumular unidades económicas hasta alcanzar la cobertura establecida.</w:t>
      </w:r>
      <w:r w:rsidR="009352F8" w:rsidRPr="00F11EF5">
        <w:t xml:space="preserve"> </w:t>
      </w:r>
      <w:r w:rsidRPr="00F11EF5">
        <w:t>Los establecimientos de las clases con diseño probabilístico se seleccionaron de manera aleatoria e independiente</w:t>
      </w:r>
      <w:r w:rsidR="000769D0" w:rsidRPr="00F11EF5">
        <w:t>.</w:t>
      </w:r>
      <w:r w:rsidRPr="00F11EF5">
        <w:t xml:space="preserve"> </w:t>
      </w:r>
      <w:r w:rsidR="000769D0" w:rsidRPr="00F11EF5">
        <w:t>C</w:t>
      </w:r>
      <w:r w:rsidRPr="00F11EF5">
        <w:t>omo variables de selección</w:t>
      </w:r>
      <w:r w:rsidR="00F345E4" w:rsidRPr="00F11EF5">
        <w:t>,</w:t>
      </w:r>
      <w:r w:rsidRPr="00F11EF5">
        <w:t xml:space="preserve"> </w:t>
      </w:r>
      <w:r w:rsidR="00886837" w:rsidRPr="00F11EF5">
        <w:t xml:space="preserve">se tomaron </w:t>
      </w:r>
      <w:r w:rsidRPr="00F11EF5">
        <w:t xml:space="preserve">el total de personal ocupado y </w:t>
      </w:r>
      <w:r w:rsidR="006E7053" w:rsidRPr="00F11EF5">
        <w:t xml:space="preserve">el </w:t>
      </w:r>
      <w:r w:rsidR="006E7053" w:rsidRPr="00F11EF5">
        <w:rPr>
          <w:color w:val="000000" w:themeColor="text1"/>
        </w:rPr>
        <w:t>total de ingresos por suministro de bienes y servicios</w:t>
      </w:r>
      <w:r w:rsidRPr="00F11EF5">
        <w:t>.</w:t>
      </w:r>
      <w:r w:rsidR="00746C3A" w:rsidRPr="00F11EF5">
        <w:t xml:space="preserve"> </w:t>
      </w:r>
      <w:r w:rsidRPr="00F11EF5">
        <w:t>En estas clases</w:t>
      </w:r>
      <w:r w:rsidR="00063D68" w:rsidRPr="00F11EF5">
        <w:t>,</w:t>
      </w:r>
      <w:r w:rsidRPr="00F11EF5">
        <w:t xml:space="preserve"> el tamaño de muestra se obtuvo de manera independiente. </w:t>
      </w:r>
      <w:r w:rsidR="006E7053" w:rsidRPr="00F11EF5">
        <w:rPr>
          <w:color w:val="000000" w:themeColor="text1"/>
        </w:rPr>
        <w:t>Para su cálculo</w:t>
      </w:r>
      <w:r w:rsidR="00EA2C2C" w:rsidRPr="00F11EF5">
        <w:rPr>
          <w:color w:val="000000" w:themeColor="text1"/>
        </w:rPr>
        <w:t>,</w:t>
      </w:r>
      <w:r w:rsidR="006E7053" w:rsidRPr="00F11EF5">
        <w:rPr>
          <w:color w:val="000000" w:themeColor="text1"/>
        </w:rPr>
        <w:t xml:space="preserve"> se consideró un coeficiente de variación diferenciado por dominio que toma valores entre 8 y 10</w:t>
      </w:r>
      <w:r w:rsidR="00EC522D" w:rsidRPr="00F11EF5">
        <w:rPr>
          <w:color w:val="000000" w:themeColor="text1"/>
        </w:rPr>
        <w:t> %</w:t>
      </w:r>
      <w:r w:rsidR="006E7053" w:rsidRPr="00F11EF5">
        <w:rPr>
          <w:color w:val="000000" w:themeColor="text1"/>
        </w:rPr>
        <w:t xml:space="preserve"> y una tasa de no respuesta de 10</w:t>
      </w:r>
      <w:r w:rsidR="00435116" w:rsidRPr="00F11EF5">
        <w:rPr>
          <w:color w:val="000000" w:themeColor="text1"/>
        </w:rPr>
        <w:t> por ciento</w:t>
      </w:r>
      <w:r w:rsidR="006E7053" w:rsidRPr="00F11EF5">
        <w:rPr>
          <w:color w:val="000000" w:themeColor="text1"/>
        </w:rPr>
        <w:t>. Asimismo, el nivel de confianza es de 95</w:t>
      </w:r>
      <w:r w:rsidR="00435116" w:rsidRPr="00F11EF5">
        <w:rPr>
          <w:color w:val="000000" w:themeColor="text1"/>
        </w:rPr>
        <w:t> por ciento</w:t>
      </w:r>
      <w:r w:rsidR="006E7053" w:rsidRPr="00F11EF5">
        <w:rPr>
          <w:color w:val="000000" w:themeColor="text1"/>
        </w:rPr>
        <w:t>.</w:t>
      </w:r>
    </w:p>
    <w:p w14:paraId="1AC00B57" w14:textId="7E28FDBB" w:rsidR="000214FB" w:rsidRPr="00F11EF5" w:rsidRDefault="000214FB" w:rsidP="00A741BD">
      <w:pPr>
        <w:spacing w:before="240"/>
      </w:pPr>
      <w:r w:rsidRPr="00F11EF5">
        <w:t xml:space="preserve">En apego a los </w:t>
      </w:r>
      <w:r w:rsidR="00A9565C" w:rsidRPr="00F11EF5">
        <w:t>«</w:t>
      </w:r>
      <w:r w:rsidRPr="00F11EF5">
        <w:t>Lineamientos del Proceso de Gestión de Cambios en los Programas de Información Estadística y Geográfica</w:t>
      </w:r>
      <w:r w:rsidR="00A9565C" w:rsidRPr="00F11EF5">
        <w:t>»</w:t>
      </w:r>
      <w:r w:rsidRPr="00F11EF5">
        <w:t xml:space="preserve"> y derivado de la actualización del </w:t>
      </w:r>
      <w:r w:rsidR="005D5957" w:rsidRPr="00F11EF5">
        <w:rPr>
          <w:color w:val="000000" w:themeColor="text1"/>
        </w:rPr>
        <w:t>Registro Estadístico de Negocios de México (</w:t>
      </w:r>
      <w:proofErr w:type="spellStart"/>
      <w:r w:rsidR="005D5957" w:rsidRPr="00F11EF5">
        <w:rPr>
          <w:smallCaps/>
          <w:color w:val="000000" w:themeColor="text1"/>
        </w:rPr>
        <w:t>renem</w:t>
      </w:r>
      <w:proofErr w:type="spellEnd"/>
      <w:r w:rsidR="005D5957" w:rsidRPr="00F11EF5">
        <w:rPr>
          <w:color w:val="000000" w:themeColor="text1"/>
        </w:rPr>
        <w:t>)</w:t>
      </w:r>
      <w:r w:rsidRPr="00F11EF5">
        <w:t xml:space="preserve"> versión noviembre 2023, para 2024 la </w:t>
      </w:r>
      <w:r w:rsidRPr="00F11EF5">
        <w:rPr>
          <w:smallCaps/>
        </w:rPr>
        <w:t>emim</w:t>
      </w:r>
      <w:r w:rsidRPr="00F11EF5">
        <w:t xml:space="preserve"> </w:t>
      </w:r>
      <w:r w:rsidR="007803ED" w:rsidRPr="00F11EF5">
        <w:t xml:space="preserve">actualizó </w:t>
      </w:r>
      <w:r w:rsidRPr="00F11EF5">
        <w:t>el marco y la muestra</w:t>
      </w:r>
      <w:r w:rsidR="007803ED" w:rsidRPr="00F11EF5">
        <w:t xml:space="preserve">. Así, </w:t>
      </w:r>
      <w:r w:rsidR="00786C0E" w:rsidRPr="00F11EF5">
        <w:t xml:space="preserve">mantuvo </w:t>
      </w:r>
      <w:r w:rsidRPr="00F11EF5">
        <w:t xml:space="preserve">los parámetros estadísticos definidos en el diseño de la </w:t>
      </w:r>
      <w:r w:rsidR="00A9565C" w:rsidRPr="00F11EF5">
        <w:t>s</w:t>
      </w:r>
      <w:r w:rsidRPr="00F11EF5">
        <w:t>erie 2018. Los datos del marco, la conformación de la muestra</w:t>
      </w:r>
      <w:r w:rsidR="007803ED" w:rsidRPr="00F11EF5">
        <w:t xml:space="preserve"> y</w:t>
      </w:r>
      <w:r w:rsidRPr="00F11EF5">
        <w:t xml:space="preserve"> las coberturas para 2024 se muestran en el siguiente cuadro.</w:t>
      </w:r>
    </w:p>
    <w:p w14:paraId="475A4908" w14:textId="77777777" w:rsidR="0063592A" w:rsidRDefault="0063592A" w:rsidP="00F63FD8">
      <w:pPr>
        <w:keepNext/>
        <w:keepLines/>
        <w:widowControl w:val="0"/>
        <w:spacing w:before="240"/>
        <w:jc w:val="center"/>
        <w:rPr>
          <w:b/>
          <w:bCs/>
          <w:sz w:val="22"/>
          <w:szCs w:val="22"/>
        </w:rPr>
      </w:pPr>
    </w:p>
    <w:p w14:paraId="7DF39CB9" w14:textId="7800877A" w:rsidR="000214FB" w:rsidRPr="00F11EF5" w:rsidRDefault="000214FB" w:rsidP="00F63FD8">
      <w:pPr>
        <w:keepNext/>
        <w:keepLines/>
        <w:widowControl w:val="0"/>
        <w:spacing w:before="240"/>
        <w:jc w:val="center"/>
        <w:rPr>
          <w:sz w:val="22"/>
          <w:szCs w:val="22"/>
        </w:rPr>
      </w:pPr>
      <w:r w:rsidRPr="00F11EF5">
        <w:rPr>
          <w:b/>
          <w:bCs/>
          <w:sz w:val="22"/>
          <w:szCs w:val="22"/>
        </w:rPr>
        <w:t xml:space="preserve">Información del marco y muestra de la </w:t>
      </w:r>
      <w:r w:rsidRPr="00F11EF5">
        <w:rPr>
          <w:b/>
          <w:bCs/>
          <w:smallCaps/>
          <w:sz w:val="22"/>
          <w:szCs w:val="22"/>
        </w:rPr>
        <w:t>emim</w:t>
      </w:r>
      <w:r w:rsidRPr="00F11EF5">
        <w:rPr>
          <w:b/>
          <w:bCs/>
          <w:sz w:val="22"/>
          <w:szCs w:val="22"/>
        </w:rPr>
        <w:t xml:space="preserve"> del año 2024</w:t>
      </w:r>
    </w:p>
    <w:tbl>
      <w:tblPr>
        <w:tblStyle w:val="Tablaconcuadrcula"/>
        <w:tblW w:w="4960" w:type="pct"/>
        <w:jc w:val="center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02"/>
        <w:gridCol w:w="755"/>
        <w:gridCol w:w="784"/>
        <w:gridCol w:w="895"/>
        <w:gridCol w:w="895"/>
        <w:gridCol w:w="800"/>
        <w:gridCol w:w="1130"/>
        <w:gridCol w:w="1104"/>
        <w:gridCol w:w="875"/>
      </w:tblGrid>
      <w:tr w:rsidR="0049462B" w:rsidRPr="00F11EF5" w14:paraId="43877BB7" w14:textId="77777777" w:rsidTr="00F63FD8">
        <w:trPr>
          <w:trHeight w:val="397"/>
          <w:jc w:val="center"/>
        </w:trPr>
        <w:tc>
          <w:tcPr>
            <w:tcW w:w="930" w:type="pct"/>
            <w:vMerge w:val="restart"/>
            <w:tcBorders>
              <w:top w:val="single" w:sz="6" w:space="0" w:color="1F497D" w:themeColor="text2"/>
              <w:left w:val="single" w:sz="6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05D06ACF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Descripción</w:t>
            </w:r>
          </w:p>
        </w:tc>
        <w:tc>
          <w:tcPr>
            <w:tcW w:w="1185" w:type="pct"/>
            <w:gridSpan w:val="3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279E3595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Establecimientos</w:t>
            </w:r>
          </w:p>
        </w:tc>
        <w:tc>
          <w:tcPr>
            <w:tcW w:w="1311" w:type="pct"/>
            <w:gridSpan w:val="3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7B7A594F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Personal ocupado</w:t>
            </w:r>
          </w:p>
        </w:tc>
        <w:tc>
          <w:tcPr>
            <w:tcW w:w="1574" w:type="pct"/>
            <w:gridSpan w:val="3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6" w:space="0" w:color="1F497D" w:themeColor="text2"/>
            </w:tcBorders>
            <w:shd w:val="clear" w:color="auto" w:fill="C6D9F1"/>
            <w:vAlign w:val="center"/>
          </w:tcPr>
          <w:p w14:paraId="526D3B44" w14:textId="0E3EBD3E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Ingresos</w:t>
            </w:r>
            <w:r w:rsidR="00B722E4" w:rsidRPr="00F11EF5">
              <w:rPr>
                <w:smallCaps/>
                <w:sz w:val="14"/>
                <w:szCs w:val="14"/>
              </w:rPr>
              <w:br/>
            </w:r>
            <w:r w:rsidRPr="00F11EF5">
              <w:rPr>
                <w:sz w:val="14"/>
                <w:szCs w:val="14"/>
              </w:rPr>
              <w:t>(</w:t>
            </w:r>
            <w:r w:rsidR="00CF2499" w:rsidRPr="00F11EF5">
              <w:rPr>
                <w:sz w:val="14"/>
                <w:szCs w:val="14"/>
              </w:rPr>
              <w:t>m</w:t>
            </w:r>
            <w:r w:rsidRPr="00F11EF5">
              <w:rPr>
                <w:sz w:val="14"/>
                <w:szCs w:val="14"/>
              </w:rPr>
              <w:t>iles de pesos)</w:t>
            </w:r>
          </w:p>
        </w:tc>
      </w:tr>
      <w:tr w:rsidR="00F63FD8" w:rsidRPr="00F11EF5" w14:paraId="4B6CB878" w14:textId="77777777" w:rsidTr="00F63FD8">
        <w:trPr>
          <w:trHeight w:val="397"/>
          <w:jc w:val="center"/>
        </w:trPr>
        <w:tc>
          <w:tcPr>
            <w:tcW w:w="930" w:type="pct"/>
            <w:vMerge/>
            <w:tcBorders>
              <w:top w:val="single" w:sz="2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3FA1F76B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439D98D7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Marco</w:t>
            </w:r>
          </w:p>
        </w:tc>
        <w:tc>
          <w:tcPr>
            <w:tcW w:w="38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0FFD4933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Muestra</w:t>
            </w:r>
          </w:p>
        </w:tc>
        <w:tc>
          <w:tcPr>
            <w:tcW w:w="397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7A1922F9" w14:textId="7AE03CE4" w:rsidR="000214FB" w:rsidRPr="00F11EF5" w:rsidRDefault="000214FB" w:rsidP="00F63FD8">
            <w:pPr>
              <w:keepNext/>
              <w:keepLines/>
              <w:widowControl w:val="0"/>
              <w:ind w:left="-107" w:right="-106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Cobertura</w:t>
            </w:r>
            <w:r w:rsidR="00B722E4" w:rsidRPr="00F11EF5">
              <w:rPr>
                <w:smallCaps/>
                <w:sz w:val="14"/>
                <w:szCs w:val="14"/>
              </w:rPr>
              <w:br/>
            </w:r>
            <w:r w:rsidRPr="00F11EF5">
              <w:rPr>
                <w:sz w:val="14"/>
                <w:szCs w:val="14"/>
              </w:rPr>
              <w:t>(%)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315F9B4D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Marco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3BD5B8A8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Muestra</w:t>
            </w:r>
          </w:p>
        </w:tc>
        <w:tc>
          <w:tcPr>
            <w:tcW w:w="405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2845C5A9" w14:textId="53E4068E" w:rsidR="000214FB" w:rsidRPr="00F11EF5" w:rsidRDefault="000214FB" w:rsidP="00F63FD8">
            <w:pPr>
              <w:keepNext/>
              <w:keepLines/>
              <w:widowControl w:val="0"/>
              <w:ind w:left="-109" w:right="-108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Cobertura</w:t>
            </w:r>
            <w:r w:rsidR="00B722E4" w:rsidRPr="00F11EF5">
              <w:rPr>
                <w:smallCaps/>
                <w:sz w:val="14"/>
                <w:szCs w:val="14"/>
              </w:rPr>
              <w:br/>
            </w:r>
            <w:r w:rsidRPr="00F11EF5">
              <w:rPr>
                <w:sz w:val="14"/>
                <w:szCs w:val="14"/>
              </w:rPr>
              <w:t>(%)</w:t>
            </w:r>
          </w:p>
        </w:tc>
        <w:tc>
          <w:tcPr>
            <w:tcW w:w="57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17BCA97B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Marco</w:t>
            </w:r>
          </w:p>
        </w:tc>
        <w:tc>
          <w:tcPr>
            <w:tcW w:w="559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2" w:space="0" w:color="1F497D" w:themeColor="text2"/>
            </w:tcBorders>
            <w:shd w:val="clear" w:color="auto" w:fill="C6D9F1"/>
            <w:vAlign w:val="center"/>
          </w:tcPr>
          <w:p w14:paraId="3BBE994B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Muestra</w:t>
            </w:r>
          </w:p>
        </w:tc>
        <w:tc>
          <w:tcPr>
            <w:tcW w:w="44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C6D9F1"/>
            <w:vAlign w:val="center"/>
          </w:tcPr>
          <w:p w14:paraId="4B5D0A9B" w14:textId="68C49EB7" w:rsidR="000214FB" w:rsidRPr="00F11EF5" w:rsidRDefault="000214FB" w:rsidP="00F63FD8">
            <w:pPr>
              <w:keepNext/>
              <w:keepLines/>
              <w:widowControl w:val="0"/>
              <w:ind w:left="-110" w:right="-101"/>
              <w:jc w:val="center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Cobertura</w:t>
            </w:r>
            <w:r w:rsidR="00B722E4" w:rsidRPr="00F11EF5">
              <w:rPr>
                <w:smallCaps/>
                <w:sz w:val="14"/>
                <w:szCs w:val="14"/>
              </w:rPr>
              <w:br/>
            </w:r>
            <w:r w:rsidRPr="00F11EF5">
              <w:rPr>
                <w:sz w:val="14"/>
                <w:szCs w:val="14"/>
              </w:rPr>
              <w:t>(%)</w:t>
            </w:r>
          </w:p>
        </w:tc>
      </w:tr>
      <w:tr w:rsidR="00045A9F" w:rsidRPr="00F11EF5" w14:paraId="3597118D" w14:textId="77777777" w:rsidTr="00F63FD8">
        <w:trPr>
          <w:trHeight w:val="397"/>
          <w:jc w:val="center"/>
        </w:trPr>
        <w:tc>
          <w:tcPr>
            <w:tcW w:w="930" w:type="pct"/>
            <w:tcBorders>
              <w:top w:val="single" w:sz="6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21E20C66" w14:textId="77777777" w:rsidR="00CF2499" w:rsidRPr="00F11EF5" w:rsidRDefault="000214FB" w:rsidP="00F63FD8">
            <w:pPr>
              <w:keepNext/>
              <w:keepLines/>
              <w:widowControl w:val="0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Sector 31-33</w:t>
            </w:r>
          </w:p>
          <w:p w14:paraId="24EDBD78" w14:textId="3ADF418A" w:rsidR="000214FB" w:rsidRPr="00F11EF5" w:rsidRDefault="000214FB" w:rsidP="00F63FD8">
            <w:pPr>
              <w:keepNext/>
              <w:keepLines/>
              <w:widowControl w:val="0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Industrias manufactureras</w:t>
            </w:r>
          </w:p>
        </w:tc>
        <w:tc>
          <w:tcPr>
            <w:tcW w:w="406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4F8A7152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75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587 990</w:t>
            </w:r>
          </w:p>
        </w:tc>
        <w:tc>
          <w:tcPr>
            <w:tcW w:w="382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D2A30A2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8 651</w:t>
            </w:r>
          </w:p>
        </w:tc>
        <w:tc>
          <w:tcPr>
            <w:tcW w:w="397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26986229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33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1.47</w:t>
            </w:r>
          </w:p>
        </w:tc>
        <w:tc>
          <w:tcPr>
            <w:tcW w:w="453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EFA9849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6 626 978</w:t>
            </w:r>
          </w:p>
        </w:tc>
        <w:tc>
          <w:tcPr>
            <w:tcW w:w="453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2EB0F6BF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4 738 453</w:t>
            </w:r>
          </w:p>
        </w:tc>
        <w:tc>
          <w:tcPr>
            <w:tcW w:w="405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55F6C923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64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71.50</w:t>
            </w:r>
          </w:p>
        </w:tc>
        <w:tc>
          <w:tcPr>
            <w:tcW w:w="572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78F360D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195"/>
              </w:tabs>
              <w:ind w:left="-114"/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10 791 073 605</w:t>
            </w:r>
          </w:p>
        </w:tc>
        <w:tc>
          <w:tcPr>
            <w:tcW w:w="559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4C1997F8" w14:textId="77777777" w:rsidR="000214FB" w:rsidRPr="00F11EF5" w:rsidRDefault="000214FB" w:rsidP="00F63FD8">
            <w:pPr>
              <w:keepNext/>
              <w:keepLines/>
              <w:widowControl w:val="0"/>
              <w:ind w:left="-80" w:right="-23"/>
              <w:jc w:val="righ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9 668 520 390</w:t>
            </w:r>
          </w:p>
        </w:tc>
        <w:tc>
          <w:tcPr>
            <w:tcW w:w="442" w:type="pct"/>
            <w:tcBorders>
              <w:top w:val="single" w:sz="6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auto"/>
            <w:vAlign w:val="center"/>
          </w:tcPr>
          <w:p w14:paraId="0CE7D9B1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301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89.60</w:t>
            </w:r>
          </w:p>
        </w:tc>
      </w:tr>
      <w:tr w:rsidR="00045A9F" w:rsidRPr="00F11EF5" w14:paraId="26BACEE8" w14:textId="77777777" w:rsidTr="00F63FD8">
        <w:trPr>
          <w:trHeight w:val="340"/>
          <w:jc w:val="center"/>
        </w:trPr>
        <w:tc>
          <w:tcPr>
            <w:tcW w:w="930" w:type="pct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F89152D" w14:textId="77777777" w:rsidR="000214FB" w:rsidRPr="00F11EF5" w:rsidRDefault="000214FB" w:rsidP="00F63FD8">
            <w:pPr>
              <w:keepNext/>
              <w:keepLines/>
              <w:widowControl w:val="0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206 clases de actividad</w:t>
            </w:r>
          </w:p>
        </w:tc>
        <w:tc>
          <w:tcPr>
            <w:tcW w:w="406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48FE6013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75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482 247</w:t>
            </w:r>
          </w:p>
        </w:tc>
        <w:tc>
          <w:tcPr>
            <w:tcW w:w="38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61B89523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8 651</w:t>
            </w:r>
          </w:p>
        </w:tc>
        <w:tc>
          <w:tcPr>
            <w:tcW w:w="397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13E5090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33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1.79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4EA5468E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6 088 618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5908FCD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4 738 453</w:t>
            </w:r>
          </w:p>
        </w:tc>
        <w:tc>
          <w:tcPr>
            <w:tcW w:w="405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5E98517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64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77.82</w:t>
            </w:r>
          </w:p>
        </w:tc>
        <w:tc>
          <w:tcPr>
            <w:tcW w:w="57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6AA3801F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195"/>
              </w:tabs>
              <w:ind w:left="-114"/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10 567 086 013</w:t>
            </w:r>
          </w:p>
        </w:tc>
        <w:tc>
          <w:tcPr>
            <w:tcW w:w="559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1D770B04" w14:textId="77777777" w:rsidR="000214FB" w:rsidRPr="00F11EF5" w:rsidRDefault="000214FB" w:rsidP="00F63FD8">
            <w:pPr>
              <w:keepNext/>
              <w:keepLines/>
              <w:widowControl w:val="0"/>
              <w:ind w:left="-80" w:right="-23"/>
              <w:jc w:val="righ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9 668 520 390</w:t>
            </w:r>
          </w:p>
        </w:tc>
        <w:tc>
          <w:tcPr>
            <w:tcW w:w="44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auto"/>
            <w:vAlign w:val="center"/>
          </w:tcPr>
          <w:p w14:paraId="7AEE658D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301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91.50</w:t>
            </w:r>
          </w:p>
        </w:tc>
      </w:tr>
      <w:tr w:rsidR="00045A9F" w:rsidRPr="00F11EF5" w14:paraId="42751919" w14:textId="77777777" w:rsidTr="00F63FD8">
        <w:trPr>
          <w:trHeight w:val="397"/>
          <w:jc w:val="center"/>
        </w:trPr>
        <w:tc>
          <w:tcPr>
            <w:tcW w:w="930" w:type="pct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7A05759" w14:textId="0F3D735B" w:rsidR="000214FB" w:rsidRPr="00F11EF5" w:rsidRDefault="000214FB" w:rsidP="00F63FD8">
            <w:pPr>
              <w:keepNext/>
              <w:keepLines/>
              <w:widowControl w:val="0"/>
              <w:jc w:val="left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 xml:space="preserve">Diseño no </w:t>
            </w:r>
            <w:r w:rsidR="00B04E07" w:rsidRPr="00F11EF5">
              <w:rPr>
                <w:sz w:val="14"/>
                <w:szCs w:val="14"/>
              </w:rPr>
              <w:t>p</w:t>
            </w:r>
            <w:r w:rsidRPr="00F11EF5">
              <w:rPr>
                <w:sz w:val="14"/>
                <w:szCs w:val="14"/>
              </w:rPr>
              <w:t xml:space="preserve">robabilístico (181 </w:t>
            </w:r>
            <w:r w:rsidR="00B04E07" w:rsidRPr="00F11EF5">
              <w:rPr>
                <w:sz w:val="14"/>
                <w:szCs w:val="14"/>
              </w:rPr>
              <w:t>c</w:t>
            </w:r>
            <w:r w:rsidRPr="00F11EF5">
              <w:rPr>
                <w:sz w:val="14"/>
                <w:szCs w:val="14"/>
              </w:rPr>
              <w:t>lases de</w:t>
            </w:r>
            <w:r w:rsidR="00A95DE9" w:rsidRPr="00F11EF5">
              <w:rPr>
                <w:sz w:val="14"/>
                <w:szCs w:val="14"/>
              </w:rPr>
              <w:t xml:space="preserve"> a</w:t>
            </w:r>
            <w:r w:rsidRPr="00F11EF5">
              <w:rPr>
                <w:sz w:val="14"/>
                <w:szCs w:val="14"/>
              </w:rPr>
              <w:t>ctividad)</w:t>
            </w:r>
          </w:p>
        </w:tc>
        <w:tc>
          <w:tcPr>
            <w:tcW w:w="406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D43CC99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75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85 479</w:t>
            </w:r>
          </w:p>
        </w:tc>
        <w:tc>
          <w:tcPr>
            <w:tcW w:w="38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D0CC632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5 496</w:t>
            </w:r>
          </w:p>
        </w:tc>
        <w:tc>
          <w:tcPr>
            <w:tcW w:w="397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6E1C6A57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33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53288750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4 395 374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54DBDDB4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3 045 209</w:t>
            </w:r>
          </w:p>
        </w:tc>
        <w:tc>
          <w:tcPr>
            <w:tcW w:w="405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11D533D6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64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69.28</w:t>
            </w:r>
          </w:p>
        </w:tc>
        <w:tc>
          <w:tcPr>
            <w:tcW w:w="57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B324C5E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195"/>
              </w:tabs>
              <w:ind w:left="-114"/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9 817 220 059</w:t>
            </w:r>
          </w:p>
        </w:tc>
        <w:tc>
          <w:tcPr>
            <w:tcW w:w="559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13A891C3" w14:textId="77777777" w:rsidR="000214FB" w:rsidRPr="00F11EF5" w:rsidRDefault="000214FB" w:rsidP="00F63FD8">
            <w:pPr>
              <w:keepNext/>
              <w:keepLines/>
              <w:widowControl w:val="0"/>
              <w:ind w:left="-80" w:right="-23"/>
              <w:jc w:val="righ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8 918 654 436</w:t>
            </w:r>
          </w:p>
        </w:tc>
        <w:tc>
          <w:tcPr>
            <w:tcW w:w="442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auto"/>
            <w:vAlign w:val="center"/>
          </w:tcPr>
          <w:p w14:paraId="44EC90A0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301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90.85</w:t>
            </w:r>
          </w:p>
        </w:tc>
      </w:tr>
      <w:tr w:rsidR="00045A9F" w:rsidRPr="00F11EF5" w14:paraId="7F78029E" w14:textId="77777777" w:rsidTr="00F63FD8">
        <w:trPr>
          <w:trHeight w:val="397"/>
          <w:jc w:val="center"/>
        </w:trPr>
        <w:tc>
          <w:tcPr>
            <w:tcW w:w="930" w:type="pct"/>
            <w:tcBorders>
              <w:top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EE21169" w14:textId="77777777" w:rsidR="00365309" w:rsidRPr="00F11EF5" w:rsidRDefault="000214FB" w:rsidP="00F63FD8">
            <w:pPr>
              <w:keepNext/>
              <w:keepLines/>
              <w:widowControl w:val="0"/>
              <w:jc w:val="left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>Diseño probabilístico</w:t>
            </w:r>
          </w:p>
          <w:p w14:paraId="2150BF28" w14:textId="404DAC91" w:rsidR="000214FB" w:rsidRPr="00F11EF5" w:rsidRDefault="000214FB" w:rsidP="00F63FD8">
            <w:pPr>
              <w:keepNext/>
              <w:keepLines/>
              <w:widowControl w:val="0"/>
              <w:jc w:val="left"/>
              <w:rPr>
                <w:sz w:val="14"/>
                <w:szCs w:val="14"/>
              </w:rPr>
            </w:pPr>
            <w:r w:rsidRPr="00F11EF5">
              <w:rPr>
                <w:sz w:val="14"/>
                <w:szCs w:val="14"/>
              </w:rPr>
              <w:t xml:space="preserve">(25 clases de </w:t>
            </w:r>
            <w:r w:rsidR="006D4499" w:rsidRPr="00F11EF5">
              <w:rPr>
                <w:sz w:val="14"/>
                <w:szCs w:val="14"/>
              </w:rPr>
              <w:t>a</w:t>
            </w:r>
            <w:r w:rsidRPr="00F11EF5">
              <w:rPr>
                <w:sz w:val="14"/>
                <w:szCs w:val="14"/>
              </w:rPr>
              <w:t>ctividad)</w:t>
            </w:r>
          </w:p>
        </w:tc>
        <w:tc>
          <w:tcPr>
            <w:tcW w:w="406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31C22AAA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75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396 768</w:t>
            </w:r>
          </w:p>
        </w:tc>
        <w:tc>
          <w:tcPr>
            <w:tcW w:w="382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00EB7A07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3 155</w:t>
            </w:r>
          </w:p>
        </w:tc>
        <w:tc>
          <w:tcPr>
            <w:tcW w:w="397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64B50FD8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33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0.80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112DBF3E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1 693 244</w:t>
            </w:r>
          </w:p>
        </w:tc>
        <w:tc>
          <w:tcPr>
            <w:tcW w:w="453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230E7070" w14:textId="77777777" w:rsidR="000214FB" w:rsidRPr="00F11EF5" w:rsidRDefault="000214FB" w:rsidP="00F63FD8">
            <w:pPr>
              <w:keepNext/>
              <w:keepLines/>
              <w:widowControl w:val="0"/>
              <w:jc w:val="center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1 693 244</w:t>
            </w:r>
          </w:p>
        </w:tc>
        <w:tc>
          <w:tcPr>
            <w:tcW w:w="405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7BFC3407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264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572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1564EB5A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437"/>
              </w:tabs>
              <w:ind w:left="-114"/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749 865 954</w:t>
            </w:r>
          </w:p>
        </w:tc>
        <w:tc>
          <w:tcPr>
            <w:tcW w:w="559" w:type="pct"/>
            <w:tcBorders>
              <w:top w:val="single" w:sz="2" w:space="0" w:color="1F497D" w:themeColor="text2"/>
              <w:left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14:paraId="5BA5AA72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417"/>
              </w:tabs>
              <w:ind w:left="-80" w:right="-23"/>
              <w:jc w:val="righ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749 865 954</w:t>
            </w:r>
          </w:p>
        </w:tc>
        <w:tc>
          <w:tcPr>
            <w:tcW w:w="442" w:type="pct"/>
            <w:tcBorders>
              <w:top w:val="single" w:sz="2" w:space="0" w:color="1F497D" w:themeColor="text2"/>
              <w:left w:val="single" w:sz="2" w:space="0" w:color="1F497D" w:themeColor="text2"/>
            </w:tcBorders>
            <w:shd w:val="clear" w:color="auto" w:fill="auto"/>
            <w:vAlign w:val="center"/>
          </w:tcPr>
          <w:p w14:paraId="7D88AD94" w14:textId="77777777" w:rsidR="000214FB" w:rsidRPr="00F11EF5" w:rsidRDefault="000214FB" w:rsidP="00F63FD8">
            <w:pPr>
              <w:keepNext/>
              <w:keepLines/>
              <w:widowControl w:val="0"/>
              <w:tabs>
                <w:tab w:val="decimal" w:pos="301"/>
              </w:tabs>
              <w:jc w:val="left"/>
              <w:rPr>
                <w:sz w:val="14"/>
                <w:szCs w:val="14"/>
              </w:rPr>
            </w:pPr>
            <w:r w:rsidRPr="00F11EF5">
              <w:rPr>
                <w:color w:val="000000"/>
                <w:sz w:val="14"/>
                <w:szCs w:val="14"/>
              </w:rPr>
              <w:t>100.00</w:t>
            </w:r>
          </w:p>
        </w:tc>
      </w:tr>
    </w:tbl>
    <w:p w14:paraId="3A097158" w14:textId="145CC161" w:rsidR="000214FB" w:rsidRPr="00F11EF5" w:rsidRDefault="007803ED" w:rsidP="000214FB">
      <w:pPr>
        <w:spacing w:before="240"/>
      </w:pPr>
      <w:r w:rsidRPr="00F11EF5">
        <w:t>L</w:t>
      </w:r>
      <w:r w:rsidR="00F63FD8" w:rsidRPr="00F11EF5">
        <w:t>a encuesta considera una</w:t>
      </w:r>
      <w:r w:rsidR="005D5957" w:rsidRPr="00F11EF5">
        <w:t xml:space="preserve"> muestra de 8 651 establecimientos. De estos, 5 496 pertenecen a las clases no probabilísticas y 3 155, a las probabilísticas</w:t>
      </w:r>
      <w:r w:rsidR="000214FB" w:rsidRPr="00F11EF5">
        <w:t xml:space="preserve"> </w:t>
      </w:r>
      <w:r w:rsidR="00227430" w:rsidRPr="00F11EF5">
        <w:t xml:space="preserve">y </w:t>
      </w:r>
      <w:r w:rsidR="000214FB" w:rsidRPr="00F11EF5">
        <w:t>alcanza una cobertura de 89.6</w:t>
      </w:r>
      <w:r w:rsidR="00EC522D" w:rsidRPr="00F11EF5">
        <w:t> %</w:t>
      </w:r>
      <w:r w:rsidR="0063592A">
        <w:t> </w:t>
      </w:r>
      <w:r w:rsidR="000214FB" w:rsidRPr="00F11EF5">
        <w:t>de los ingresos totales del sector.</w:t>
      </w:r>
    </w:p>
    <w:p w14:paraId="284A5CB8" w14:textId="29C17CB3" w:rsidR="00497F36" w:rsidRPr="00F11EF5" w:rsidRDefault="00B91889" w:rsidP="00A741BD">
      <w:pPr>
        <w:spacing w:before="240"/>
        <w:rPr>
          <w:color w:val="000000" w:themeColor="text1"/>
        </w:rPr>
      </w:pPr>
      <w:r w:rsidRPr="00F11EF5">
        <w:t xml:space="preserve">La </w:t>
      </w:r>
      <w:r w:rsidR="00B53992" w:rsidRPr="00F11EF5">
        <w:rPr>
          <w:smallCaps/>
        </w:rPr>
        <w:t>emim</w:t>
      </w:r>
      <w:r w:rsidRPr="00F11EF5">
        <w:t xml:space="preserve"> capta información de carácter cuantitativo de</w:t>
      </w:r>
      <w:r w:rsidR="00A741BD" w:rsidRPr="00F11EF5">
        <w:t xml:space="preserve"> días trabajados, </w:t>
      </w:r>
      <w:r w:rsidRPr="00F11EF5">
        <w:t xml:space="preserve">personal ocupado dependiente de la razón social, personal ocupado </w:t>
      </w:r>
      <w:r w:rsidR="00A741BD" w:rsidRPr="00F11EF5">
        <w:t>no dependiente</w:t>
      </w:r>
      <w:r w:rsidR="00BD3FD2" w:rsidRPr="00F11EF5">
        <w:t xml:space="preserve"> de la</w:t>
      </w:r>
      <w:r w:rsidRPr="00F11EF5">
        <w:t xml:space="preserve"> razón social, horas trabajadas por el personal ocupado total, remuneraciones</w:t>
      </w:r>
      <w:r w:rsidR="00A741BD" w:rsidRPr="00F11EF5">
        <w:t>,</w:t>
      </w:r>
      <w:r w:rsidRPr="00F11EF5">
        <w:t xml:space="preserve"> </w:t>
      </w:r>
      <w:r w:rsidR="00A741BD" w:rsidRPr="00F11EF5">
        <w:rPr>
          <w:color w:val="000000" w:themeColor="text1"/>
        </w:rPr>
        <w:t>capacidad de planta utilizada, gastos por consumo de bienes y servicios, ingresos por suministro de bienes y servicios, así como la producción, ventas netas y ventas de exportación de los productos elaborados.</w:t>
      </w:r>
    </w:p>
    <w:p w14:paraId="7F124531" w14:textId="79AEABFD" w:rsidR="00B1072A" w:rsidRPr="00F11EF5" w:rsidRDefault="00497F36" w:rsidP="00497F36">
      <w:pPr>
        <w:spacing w:before="240"/>
        <w:rPr>
          <w:rFonts w:eastAsiaTheme="minorEastAsia"/>
          <w:lang w:eastAsia="en-US"/>
        </w:rPr>
      </w:pPr>
      <w:r w:rsidRPr="00F11EF5">
        <w:rPr>
          <w:rStyle w:val="ui-provider"/>
        </w:rPr>
        <w:t xml:space="preserve">La captación de </w:t>
      </w:r>
      <w:r w:rsidR="00E32BD1" w:rsidRPr="00F11EF5">
        <w:rPr>
          <w:rStyle w:val="ui-provider"/>
        </w:rPr>
        <w:t xml:space="preserve">los datos </w:t>
      </w:r>
      <w:r w:rsidRPr="00F11EF5">
        <w:rPr>
          <w:rStyle w:val="ui-provider"/>
        </w:rPr>
        <w:t xml:space="preserve">se realiza mediante cuestionario impreso (en papel), cuestionario electrónico para su captación en los dispositivos de cómputo móvil y cuestionario electrónico en el sitio del </w:t>
      </w:r>
      <w:r w:rsidR="00B53992" w:rsidRPr="00F11EF5">
        <w:rPr>
          <w:rStyle w:val="ui-provider"/>
          <w:smallCaps/>
        </w:rPr>
        <w:t>inegi</w:t>
      </w:r>
      <w:r w:rsidRPr="00F11EF5">
        <w:rPr>
          <w:rStyle w:val="ui-provider"/>
        </w:rPr>
        <w:t xml:space="preserve"> en internet (captura directa en la aplicación y en formato Excel para su descarga, llenado independiente y posterior carga en el sitio).</w:t>
      </w:r>
    </w:p>
    <w:p w14:paraId="5F154E39" w14:textId="1E61FC47" w:rsidR="006D7831" w:rsidRPr="00F11EF5" w:rsidRDefault="00113398" w:rsidP="00C16973">
      <w:pPr>
        <w:spacing w:before="240"/>
      </w:pPr>
      <w:r w:rsidRPr="00F11EF5">
        <w:rPr>
          <w:rFonts w:eastAsiaTheme="minorEastAsia"/>
          <w:lang w:eastAsia="en-US"/>
        </w:rPr>
        <w:t>Para</w:t>
      </w:r>
      <w:r w:rsidR="00DA7BD3" w:rsidRPr="00F11EF5">
        <w:rPr>
          <w:rFonts w:eastAsiaTheme="minorEastAsia"/>
          <w:lang w:eastAsia="en-US"/>
        </w:rPr>
        <w:t xml:space="preserve"> brindar </w:t>
      </w:r>
      <w:r w:rsidR="00342C11" w:rsidRPr="00F11EF5">
        <w:rPr>
          <w:rFonts w:eastAsiaTheme="minorEastAsia"/>
          <w:lang w:eastAsia="en-US"/>
        </w:rPr>
        <w:t>más</w:t>
      </w:r>
      <w:r w:rsidR="00A67D5E" w:rsidRPr="00F11EF5">
        <w:rPr>
          <w:rFonts w:eastAsiaTheme="minorEastAsia"/>
          <w:lang w:eastAsia="en-US"/>
        </w:rPr>
        <w:t xml:space="preserve"> elementos</w:t>
      </w:r>
      <w:r w:rsidR="00DA7BD3" w:rsidRPr="00F11EF5">
        <w:rPr>
          <w:rFonts w:eastAsiaTheme="minorEastAsia"/>
          <w:lang w:eastAsia="en-US"/>
        </w:rPr>
        <w:t xml:space="preserve"> que permitan determinar la precisión de los datos</w:t>
      </w:r>
      <w:r w:rsidR="00A67D5E" w:rsidRPr="00F11EF5">
        <w:rPr>
          <w:rFonts w:eastAsiaTheme="minorEastAsia"/>
          <w:lang w:eastAsia="en-US"/>
        </w:rPr>
        <w:t xml:space="preserve"> generados por </w:t>
      </w:r>
      <w:r w:rsidR="00195247" w:rsidRPr="00F11EF5">
        <w:rPr>
          <w:rFonts w:eastAsiaTheme="minorEastAsia"/>
          <w:lang w:eastAsia="en-US"/>
        </w:rPr>
        <w:t xml:space="preserve">la </w:t>
      </w:r>
      <w:r w:rsidR="00B53992" w:rsidRPr="00F11EF5">
        <w:rPr>
          <w:rFonts w:eastAsiaTheme="minorEastAsia"/>
          <w:smallCaps/>
          <w:lang w:eastAsia="en-US"/>
        </w:rPr>
        <w:t>emim</w:t>
      </w:r>
      <w:r w:rsidR="00DA7BD3" w:rsidRPr="00F11EF5">
        <w:rPr>
          <w:rFonts w:eastAsiaTheme="minorEastAsia"/>
          <w:lang w:eastAsia="en-US"/>
        </w:rPr>
        <w:t xml:space="preserve">, el </w:t>
      </w:r>
      <w:r w:rsidR="00B53992" w:rsidRPr="00F11EF5">
        <w:rPr>
          <w:rFonts w:eastAsiaTheme="minorEastAsia"/>
          <w:smallCaps/>
          <w:lang w:eastAsia="en-US"/>
        </w:rPr>
        <w:t>inegi</w:t>
      </w:r>
      <w:r w:rsidR="00DA7BD3" w:rsidRPr="00F11EF5">
        <w:rPr>
          <w:rFonts w:eastAsiaTheme="minorEastAsia"/>
          <w:lang w:eastAsia="en-US"/>
        </w:rPr>
        <w:t xml:space="preserve"> publica los Indicadores de Precisión Estadística</w:t>
      </w:r>
      <w:r w:rsidR="00A67D5E" w:rsidRPr="00F11EF5">
        <w:rPr>
          <w:rFonts w:eastAsiaTheme="minorEastAsia"/>
          <w:lang w:eastAsia="en-US"/>
        </w:rPr>
        <w:t xml:space="preserve">, que </w:t>
      </w:r>
      <w:r w:rsidR="00DA7BD3" w:rsidRPr="00F11EF5">
        <w:rPr>
          <w:rFonts w:eastAsiaTheme="minorEastAsia"/>
          <w:lang w:eastAsia="en-US"/>
        </w:rPr>
        <w:t xml:space="preserve">son una medida relativa </w:t>
      </w:r>
      <w:r w:rsidR="00226D53" w:rsidRPr="00F11EF5">
        <w:rPr>
          <w:rFonts w:eastAsiaTheme="minorEastAsia"/>
          <w:lang w:eastAsia="en-US"/>
        </w:rPr>
        <w:t>de</w:t>
      </w:r>
      <w:r w:rsidR="00DA7BD3" w:rsidRPr="00F11EF5">
        <w:rPr>
          <w:rFonts w:eastAsiaTheme="minorEastAsia"/>
          <w:lang w:eastAsia="en-US"/>
        </w:rPr>
        <w:t xml:space="preserve"> </w:t>
      </w:r>
      <w:r w:rsidR="00A67D5E" w:rsidRPr="00F11EF5">
        <w:rPr>
          <w:rFonts w:eastAsiaTheme="minorEastAsia"/>
          <w:lang w:eastAsia="en-US"/>
        </w:rPr>
        <w:t>su</w:t>
      </w:r>
      <w:r w:rsidR="00DA7BD3" w:rsidRPr="00F11EF5">
        <w:rPr>
          <w:rFonts w:eastAsiaTheme="minorEastAsia"/>
          <w:lang w:eastAsia="en-US"/>
        </w:rPr>
        <w:t xml:space="preserve"> exactitud. Para conocer más al respecto, cons</w:t>
      </w:r>
      <w:r w:rsidR="00DF22CB" w:rsidRPr="00F11EF5">
        <w:rPr>
          <w:rFonts w:eastAsiaTheme="minorEastAsia"/>
          <w:lang w:eastAsia="en-US"/>
        </w:rPr>
        <w:t>ú</w:t>
      </w:r>
      <w:r w:rsidR="00DA7BD3" w:rsidRPr="00F11EF5">
        <w:rPr>
          <w:rFonts w:eastAsiaTheme="minorEastAsia"/>
          <w:lang w:eastAsia="en-US"/>
        </w:rPr>
        <w:t>lt</w:t>
      </w:r>
      <w:r w:rsidR="00DF22CB" w:rsidRPr="00F11EF5">
        <w:rPr>
          <w:rFonts w:eastAsiaTheme="minorEastAsia"/>
          <w:lang w:eastAsia="en-US"/>
        </w:rPr>
        <w:t>ese</w:t>
      </w:r>
      <w:r w:rsidR="00A67D5E" w:rsidRPr="00F11EF5">
        <w:rPr>
          <w:rFonts w:eastAsiaTheme="minorEastAsia"/>
          <w:lang w:eastAsia="en-US"/>
        </w:rPr>
        <w:t xml:space="preserve"> la siguiente liga</w:t>
      </w:r>
      <w:r w:rsidR="00CD3B0A" w:rsidRPr="00F11EF5">
        <w:t>:</w:t>
      </w:r>
    </w:p>
    <w:p w14:paraId="5BC50409" w14:textId="4F66C795" w:rsidR="00650141" w:rsidRPr="00F11EF5" w:rsidRDefault="00073068" w:rsidP="006D7831">
      <w:pPr>
        <w:rPr>
          <w:rFonts w:eastAsiaTheme="minorEastAsia"/>
          <w:lang w:eastAsia="en-US"/>
        </w:rPr>
      </w:pPr>
      <w:hyperlink r:id="rId26" w:history="1">
        <w:r w:rsidR="00A67D5E" w:rsidRPr="00F11EF5">
          <w:rPr>
            <w:rStyle w:val="Hipervnculo"/>
          </w:rPr>
          <w:t>https://www.inegi.org.mx/programas/emim/2018/</w:t>
        </w:r>
      </w:hyperlink>
    </w:p>
    <w:p w14:paraId="43830303" w14:textId="25F5A96C" w:rsidR="007F0CF9" w:rsidRPr="00F11EF5" w:rsidRDefault="00E605E4" w:rsidP="00E605E4">
      <w:pPr>
        <w:pStyle w:val="p0"/>
        <w:keepLines w:val="0"/>
        <w:widowControl/>
        <w:rPr>
          <w:rFonts w:ascii="Arial" w:hAnsi="Arial"/>
          <w:u w:val="single"/>
        </w:rPr>
      </w:pPr>
      <w:r w:rsidRPr="00F11EF5">
        <w:rPr>
          <w:rFonts w:ascii="Arial" w:eastAsiaTheme="minorEastAsia" w:hAnsi="Arial"/>
          <w:snapToGrid/>
          <w:color w:val="auto"/>
          <w:lang w:eastAsia="en-US"/>
        </w:rPr>
        <w:t>E</w:t>
      </w:r>
      <w:r w:rsidR="007F0CF9" w:rsidRPr="00F11EF5">
        <w:rPr>
          <w:rFonts w:ascii="Arial" w:eastAsiaTheme="minorEastAsia" w:hAnsi="Arial"/>
          <w:snapToGrid/>
          <w:color w:val="auto"/>
          <w:lang w:eastAsia="en-US"/>
        </w:rPr>
        <w:t>l personal ocupado</w:t>
      </w:r>
      <w:r w:rsidR="007318B1" w:rsidRPr="00F11EF5">
        <w:rPr>
          <w:rFonts w:ascii="Arial" w:eastAsiaTheme="minorEastAsia" w:hAnsi="Arial"/>
          <w:snapToGrid/>
          <w:color w:val="auto"/>
          <w:lang w:eastAsia="en-US"/>
        </w:rPr>
        <w:t xml:space="preserve"> que se reporta</w:t>
      </w:r>
      <w:r w:rsidR="007F0CF9" w:rsidRPr="00F11EF5">
        <w:rPr>
          <w:rFonts w:ascii="Arial" w:eastAsiaTheme="minorEastAsia" w:hAnsi="Arial"/>
          <w:snapToGrid/>
          <w:color w:val="auto"/>
          <w:lang w:eastAsia="en-US"/>
        </w:rPr>
        <w:t xml:space="preserve"> en este programa estadístico es conceptualmente diferente </w:t>
      </w:r>
      <w:r w:rsidR="007C1298" w:rsidRPr="00F11EF5">
        <w:rPr>
          <w:rFonts w:ascii="Arial" w:eastAsiaTheme="minorEastAsia" w:hAnsi="Arial"/>
          <w:snapToGrid/>
          <w:color w:val="auto"/>
          <w:lang w:eastAsia="en-US"/>
        </w:rPr>
        <w:t xml:space="preserve">al que se obtiene con </w:t>
      </w:r>
      <w:r w:rsidR="007F0CF9" w:rsidRPr="00F11EF5">
        <w:rPr>
          <w:rFonts w:ascii="Arial" w:eastAsiaTheme="minorEastAsia" w:hAnsi="Arial"/>
          <w:snapToGrid/>
          <w:color w:val="auto"/>
          <w:lang w:eastAsia="en-US"/>
        </w:rPr>
        <w:t>la definición de puestos de trabajo afiliados al Instituto Mexicano del Seguro Social. Para m</w:t>
      </w:r>
      <w:r w:rsidR="000821AB" w:rsidRPr="00F11EF5">
        <w:rPr>
          <w:rFonts w:ascii="Arial" w:eastAsiaTheme="minorEastAsia" w:hAnsi="Arial"/>
          <w:snapToGrid/>
          <w:color w:val="auto"/>
          <w:lang w:eastAsia="en-US"/>
        </w:rPr>
        <w:t>ás</w:t>
      </w:r>
      <w:r w:rsidR="007F0CF9" w:rsidRPr="00F11EF5">
        <w:rPr>
          <w:rFonts w:ascii="Arial" w:eastAsiaTheme="minorEastAsia" w:hAnsi="Arial"/>
          <w:snapToGrid/>
          <w:color w:val="auto"/>
          <w:lang w:eastAsia="en-US"/>
        </w:rPr>
        <w:t xml:space="preserve"> detalles</w:t>
      </w:r>
      <w:r w:rsidR="007318B1" w:rsidRPr="00F11EF5">
        <w:rPr>
          <w:rFonts w:ascii="Arial" w:eastAsiaTheme="minorEastAsia" w:hAnsi="Arial"/>
          <w:snapToGrid/>
          <w:color w:val="auto"/>
          <w:lang w:eastAsia="en-US"/>
        </w:rPr>
        <w:t>,</w:t>
      </w:r>
      <w:r w:rsidR="007F0CF9" w:rsidRPr="00F11EF5">
        <w:rPr>
          <w:rFonts w:ascii="Arial" w:eastAsiaTheme="minorEastAsia" w:hAnsi="Arial"/>
          <w:snapToGrid/>
          <w:color w:val="auto"/>
          <w:lang w:eastAsia="en-US"/>
        </w:rPr>
        <w:t xml:space="preserve"> cons</w:t>
      </w:r>
      <w:r w:rsidR="00F0797B" w:rsidRPr="00F11EF5">
        <w:rPr>
          <w:rFonts w:ascii="Arial" w:eastAsiaTheme="minorEastAsia" w:hAnsi="Arial"/>
          <w:snapToGrid/>
          <w:color w:val="auto"/>
          <w:lang w:eastAsia="en-US"/>
        </w:rPr>
        <w:t>ú</w:t>
      </w:r>
      <w:r w:rsidR="007F0CF9" w:rsidRPr="00F11EF5">
        <w:rPr>
          <w:rFonts w:ascii="Arial" w:eastAsiaTheme="minorEastAsia" w:hAnsi="Arial"/>
          <w:snapToGrid/>
          <w:color w:val="auto"/>
          <w:lang w:eastAsia="en-US"/>
        </w:rPr>
        <w:t>lt</w:t>
      </w:r>
      <w:r w:rsidR="00F0797B" w:rsidRPr="00F11EF5">
        <w:rPr>
          <w:rFonts w:ascii="Arial" w:eastAsiaTheme="minorEastAsia" w:hAnsi="Arial"/>
          <w:snapToGrid/>
          <w:color w:val="auto"/>
          <w:lang w:eastAsia="en-US"/>
        </w:rPr>
        <w:t>ese</w:t>
      </w:r>
      <w:r w:rsidR="007F0CF9" w:rsidRPr="00F11EF5">
        <w:rPr>
          <w:rFonts w:ascii="Arial" w:eastAsiaTheme="minorEastAsia" w:hAnsi="Arial"/>
          <w:snapToGrid/>
          <w:color w:val="auto"/>
          <w:lang w:eastAsia="en-US"/>
        </w:rPr>
        <w:t xml:space="preserve"> la sección metadatos de la </w:t>
      </w:r>
      <w:r w:rsidR="00B53992" w:rsidRPr="00F11EF5">
        <w:rPr>
          <w:rFonts w:ascii="Arial" w:eastAsiaTheme="minorEastAsia" w:hAnsi="Arial"/>
          <w:smallCaps/>
          <w:snapToGrid/>
          <w:color w:val="auto"/>
          <w:lang w:eastAsia="en-US"/>
        </w:rPr>
        <w:t>emim</w:t>
      </w:r>
      <w:r w:rsidR="00F0797B" w:rsidRPr="00F11EF5">
        <w:rPr>
          <w:rFonts w:ascii="Arial" w:eastAsiaTheme="minorEastAsia" w:hAnsi="Arial"/>
          <w:snapToGrid/>
          <w:color w:val="auto"/>
          <w:lang w:eastAsia="en-US"/>
        </w:rPr>
        <w:t>:</w:t>
      </w:r>
      <w:r w:rsidR="00E32152" w:rsidRPr="00F11EF5">
        <w:rPr>
          <w:rFonts w:ascii="Arial" w:eastAsiaTheme="minorEastAsia" w:hAnsi="Arial"/>
          <w:snapToGrid/>
          <w:color w:val="auto"/>
          <w:lang w:eastAsia="en-US"/>
        </w:rPr>
        <w:t xml:space="preserve"> </w:t>
      </w:r>
      <w:hyperlink r:id="rId27" w:history="1">
        <w:r w:rsidR="00A67D5E" w:rsidRPr="00F11EF5">
          <w:rPr>
            <w:rStyle w:val="Hipervnculo"/>
            <w:rFonts w:ascii="Arial" w:hAnsi="Arial"/>
          </w:rPr>
          <w:t>https://www.inegi.org.mx/programas/emim/2018/</w:t>
        </w:r>
      </w:hyperlink>
    </w:p>
    <w:p w14:paraId="6B30287E" w14:textId="76C82672" w:rsidR="001451EA" w:rsidRPr="00F11EF5" w:rsidRDefault="001451EA" w:rsidP="00DD7CCD">
      <w:pPr>
        <w:pStyle w:val="p0"/>
        <w:keepLines w:val="0"/>
        <w:widowControl/>
        <w:rPr>
          <w:rFonts w:ascii="Arial" w:hAnsi="Arial"/>
          <w:color w:val="auto"/>
          <w:spacing w:val="-2"/>
        </w:rPr>
      </w:pPr>
      <w:r w:rsidRPr="00F11EF5">
        <w:rPr>
          <w:rFonts w:ascii="Arial" w:hAnsi="Arial"/>
          <w:color w:val="auto"/>
        </w:rPr>
        <w:t>La mayoría de las series económicas se ve afectada por factores estacionales</w:t>
      </w:r>
      <w:r w:rsidR="00FF2D7A" w:rsidRPr="00F11EF5">
        <w:rPr>
          <w:rFonts w:ascii="Arial" w:hAnsi="Arial"/>
          <w:color w:val="auto"/>
        </w:rPr>
        <w:t>:</w:t>
      </w:r>
      <w:r w:rsidR="1923DE14" w:rsidRPr="00F11EF5">
        <w:rPr>
          <w:rFonts w:ascii="Arial" w:hAnsi="Arial"/>
          <w:color w:val="auto"/>
        </w:rPr>
        <w:t xml:space="preserve"> </w:t>
      </w:r>
      <w:r w:rsidRPr="00F11EF5">
        <w:rPr>
          <w:rFonts w:ascii="Arial" w:hAnsi="Arial"/>
          <w:color w:val="auto"/>
        </w:rPr>
        <w:t xml:space="preserve">efectos periódicos que se repiten cada año y cuyas causas </w:t>
      </w:r>
      <w:r w:rsidR="1923DE14" w:rsidRPr="00F11EF5">
        <w:rPr>
          <w:rFonts w:ascii="Arial" w:hAnsi="Arial"/>
          <w:color w:val="auto"/>
        </w:rPr>
        <w:t xml:space="preserve">son </w:t>
      </w:r>
      <w:r w:rsidRPr="00F11EF5">
        <w:rPr>
          <w:rFonts w:ascii="Arial" w:hAnsi="Arial"/>
          <w:color w:val="auto"/>
        </w:rPr>
        <w:t>ajenas a la naturaleza económica de las series</w:t>
      </w:r>
      <w:r w:rsidR="003D31DA" w:rsidRPr="00F11EF5">
        <w:rPr>
          <w:rFonts w:ascii="Arial" w:hAnsi="Arial"/>
          <w:color w:val="auto"/>
        </w:rPr>
        <w:t>.</w:t>
      </w:r>
      <w:r w:rsidRPr="00F11EF5">
        <w:rPr>
          <w:rFonts w:ascii="Arial" w:hAnsi="Arial"/>
          <w:color w:val="auto"/>
        </w:rPr>
        <w:t xml:space="preserve"> </w:t>
      </w:r>
      <w:r w:rsidR="00C765D4" w:rsidRPr="00F11EF5">
        <w:rPr>
          <w:rFonts w:ascii="Arial" w:hAnsi="Arial"/>
          <w:color w:val="auto"/>
        </w:rPr>
        <w:t>Estas pueden ser</w:t>
      </w:r>
      <w:r w:rsidR="00391438" w:rsidRPr="00F11EF5">
        <w:rPr>
          <w:rFonts w:ascii="Arial" w:hAnsi="Arial"/>
          <w:color w:val="auto"/>
        </w:rPr>
        <w:t>:</w:t>
      </w:r>
      <w:r w:rsidR="00C765D4" w:rsidRPr="00F11EF5">
        <w:rPr>
          <w:rFonts w:ascii="Arial" w:hAnsi="Arial"/>
          <w:color w:val="auto"/>
        </w:rPr>
        <w:t xml:space="preserve"> </w:t>
      </w:r>
      <w:r w:rsidRPr="00F11EF5">
        <w:rPr>
          <w:rFonts w:ascii="Arial" w:hAnsi="Arial"/>
          <w:color w:val="auto"/>
        </w:rPr>
        <w:t xml:space="preserve">las festividades, </w:t>
      </w:r>
      <w:r w:rsidR="00793B70" w:rsidRPr="00F11EF5">
        <w:rPr>
          <w:rFonts w:ascii="Arial" w:hAnsi="Arial"/>
          <w:color w:val="auto"/>
        </w:rPr>
        <w:t>meses más largos que otros</w:t>
      </w:r>
      <w:r w:rsidRPr="00F11EF5">
        <w:rPr>
          <w:rFonts w:ascii="Arial" w:hAnsi="Arial"/>
          <w:color w:val="auto"/>
        </w:rPr>
        <w:t xml:space="preserve">, </w:t>
      </w:r>
      <w:r w:rsidR="1923DE14" w:rsidRPr="00F11EF5">
        <w:rPr>
          <w:rFonts w:ascii="Arial" w:hAnsi="Arial"/>
          <w:color w:val="auto"/>
        </w:rPr>
        <w:t>las</w:t>
      </w:r>
      <w:r w:rsidR="00D63F71" w:rsidRPr="00F11EF5">
        <w:rPr>
          <w:rFonts w:ascii="Arial" w:hAnsi="Arial"/>
          <w:color w:val="auto"/>
        </w:rPr>
        <w:t xml:space="preserve"> </w:t>
      </w:r>
      <w:r w:rsidRPr="00F11EF5">
        <w:rPr>
          <w:rFonts w:ascii="Arial" w:hAnsi="Arial"/>
          <w:color w:val="auto"/>
        </w:rPr>
        <w:t>vacaciones escolares, el clima y otras fluctuaciones</w:t>
      </w:r>
      <w:r w:rsidR="1923DE14" w:rsidRPr="00F11EF5">
        <w:rPr>
          <w:rFonts w:ascii="Arial" w:hAnsi="Arial"/>
          <w:color w:val="auto"/>
        </w:rPr>
        <w:t>,</w:t>
      </w:r>
      <w:r w:rsidRPr="00F11EF5">
        <w:rPr>
          <w:rFonts w:ascii="Arial" w:hAnsi="Arial"/>
          <w:color w:val="auto"/>
        </w:rPr>
        <w:t xml:space="preserve"> </w:t>
      </w:r>
      <w:r w:rsidR="00C765D4" w:rsidRPr="00F11EF5">
        <w:rPr>
          <w:rFonts w:ascii="Arial" w:hAnsi="Arial"/>
          <w:color w:val="auto"/>
        </w:rPr>
        <w:t>como</w:t>
      </w:r>
      <w:r w:rsidRPr="00F11EF5">
        <w:rPr>
          <w:rFonts w:ascii="Arial" w:hAnsi="Arial"/>
          <w:color w:val="auto"/>
        </w:rPr>
        <w:t xml:space="preserve"> la elevada producción de juguetes en los </w:t>
      </w:r>
      <w:r w:rsidRPr="00F11EF5">
        <w:rPr>
          <w:rFonts w:ascii="Arial" w:hAnsi="Arial"/>
          <w:color w:val="auto"/>
          <w:spacing w:val="-2"/>
        </w:rPr>
        <w:t>meses previos a la Navidad</w:t>
      </w:r>
      <w:r w:rsidR="1923DE14" w:rsidRPr="00F11EF5">
        <w:rPr>
          <w:rFonts w:ascii="Arial" w:hAnsi="Arial"/>
          <w:color w:val="auto"/>
          <w:spacing w:val="-2"/>
        </w:rPr>
        <w:t>.</w:t>
      </w:r>
    </w:p>
    <w:p w14:paraId="318E566C" w14:textId="605DF0EA" w:rsidR="001451EA" w:rsidRPr="00F11EF5" w:rsidRDefault="1923DE14" w:rsidP="00F63FD8">
      <w:pPr>
        <w:pStyle w:val="p0"/>
        <w:widowControl/>
        <w:rPr>
          <w:rFonts w:ascii="Arial" w:hAnsi="Arial"/>
          <w:snapToGrid/>
          <w:color w:val="auto"/>
        </w:rPr>
      </w:pPr>
      <w:r w:rsidRPr="00F11EF5">
        <w:rPr>
          <w:rFonts w:ascii="Arial" w:hAnsi="Arial"/>
          <w:snapToGrid/>
          <w:color w:val="auto"/>
        </w:rPr>
        <w:lastRenderedPageBreak/>
        <w:t>L</w:t>
      </w:r>
      <w:r w:rsidR="001451EA" w:rsidRPr="00F11EF5">
        <w:rPr>
          <w:rFonts w:ascii="Arial" w:hAnsi="Arial"/>
          <w:snapToGrid/>
          <w:color w:val="auto"/>
        </w:rPr>
        <w:t xml:space="preserve">a desestacionalización o ajuste estacional de series económicas consiste en remover estas influencias </w:t>
      </w:r>
      <w:proofErr w:type="spellStart"/>
      <w:r w:rsidR="001451EA" w:rsidRPr="00F11EF5">
        <w:rPr>
          <w:rFonts w:ascii="Arial" w:hAnsi="Arial"/>
          <w:snapToGrid/>
          <w:color w:val="auto"/>
        </w:rPr>
        <w:t>intra</w:t>
      </w:r>
      <w:r w:rsidR="00E32152" w:rsidRPr="00F11EF5">
        <w:rPr>
          <w:rFonts w:ascii="Arial" w:hAnsi="Arial"/>
          <w:snapToGrid/>
          <w:color w:val="auto"/>
        </w:rPr>
        <w:noBreakHyphen/>
      </w:r>
      <w:r w:rsidR="001451EA" w:rsidRPr="00F11EF5">
        <w:rPr>
          <w:rFonts w:ascii="Arial" w:hAnsi="Arial"/>
          <w:snapToGrid/>
          <w:color w:val="auto"/>
        </w:rPr>
        <w:t>anuales</w:t>
      </w:r>
      <w:proofErr w:type="spellEnd"/>
      <w:r w:rsidR="001451EA" w:rsidRPr="00F11EF5">
        <w:rPr>
          <w:rFonts w:ascii="Arial" w:hAnsi="Arial"/>
          <w:snapToGrid/>
          <w:color w:val="auto"/>
        </w:rPr>
        <w:t xml:space="preserve"> periódicas</w:t>
      </w:r>
      <w:r w:rsidRPr="00F11EF5">
        <w:rPr>
          <w:rFonts w:ascii="Arial" w:hAnsi="Arial"/>
          <w:snapToGrid/>
          <w:color w:val="auto"/>
        </w:rPr>
        <w:t>:</w:t>
      </w:r>
      <w:r w:rsidR="001451EA" w:rsidRPr="00F11EF5">
        <w:rPr>
          <w:rFonts w:ascii="Arial" w:hAnsi="Arial"/>
          <w:snapToGrid/>
          <w:color w:val="auto"/>
        </w:rPr>
        <w:t xml:space="preserve"> </w:t>
      </w:r>
      <w:r w:rsidR="00C765D4" w:rsidRPr="00F11EF5">
        <w:rPr>
          <w:rFonts w:ascii="Arial" w:hAnsi="Arial"/>
          <w:snapToGrid/>
          <w:color w:val="auto"/>
        </w:rPr>
        <w:t xml:space="preserve">su </w:t>
      </w:r>
      <w:r w:rsidR="001451EA" w:rsidRPr="00F11EF5">
        <w:rPr>
          <w:rFonts w:ascii="Arial" w:hAnsi="Arial"/>
          <w:snapToGrid/>
          <w:color w:val="auto"/>
        </w:rPr>
        <w:t xml:space="preserve">presencia dificulta diagnosticar </w:t>
      </w:r>
      <w:r w:rsidRPr="00F11EF5">
        <w:rPr>
          <w:rFonts w:ascii="Arial" w:hAnsi="Arial"/>
          <w:snapToGrid/>
          <w:color w:val="auto"/>
        </w:rPr>
        <w:t>y</w:t>
      </w:r>
      <w:r w:rsidR="001451EA" w:rsidRPr="00F11EF5">
        <w:rPr>
          <w:rFonts w:ascii="Arial" w:hAnsi="Arial"/>
          <w:snapToGrid/>
          <w:color w:val="auto"/>
        </w:rPr>
        <w:t xml:space="preserve"> describir el comportamiento de una serie económica</w:t>
      </w:r>
      <w:r w:rsidRPr="00F11EF5">
        <w:rPr>
          <w:rFonts w:ascii="Arial" w:hAnsi="Arial"/>
          <w:snapToGrid/>
          <w:color w:val="auto"/>
        </w:rPr>
        <w:t>, pues no permite</w:t>
      </w:r>
      <w:r w:rsidR="001451EA" w:rsidRPr="00F11EF5">
        <w:rPr>
          <w:rFonts w:ascii="Arial" w:hAnsi="Arial"/>
          <w:snapToGrid/>
          <w:color w:val="auto"/>
        </w:rPr>
        <w:t xml:space="preserve"> comparar</w:t>
      </w:r>
      <w:r w:rsidR="001451EA" w:rsidRPr="00F11EF5">
        <w:rPr>
          <w:rFonts w:ascii="Arial" w:hAnsi="Arial"/>
          <w:color w:val="auto"/>
        </w:rPr>
        <w:t xml:space="preserve"> adecuadamente </w:t>
      </w:r>
      <w:r w:rsidR="001451EA" w:rsidRPr="00F11EF5">
        <w:rPr>
          <w:rFonts w:ascii="Arial" w:hAnsi="Arial"/>
          <w:snapToGrid/>
          <w:color w:val="auto"/>
        </w:rPr>
        <w:t xml:space="preserve">un determinado mes con el inmediato anterior. </w:t>
      </w:r>
      <w:r w:rsidR="00416723" w:rsidRPr="00F11EF5">
        <w:rPr>
          <w:rFonts w:ascii="Arial" w:hAnsi="Arial"/>
          <w:snapToGrid/>
          <w:color w:val="auto"/>
        </w:rPr>
        <w:t>Analizar la serie desestacionalizada ayuda a realizar un mejor diagnóstico y pronóstico de su evolución</w:t>
      </w:r>
      <w:r w:rsidR="00416723" w:rsidRPr="00F11EF5">
        <w:rPr>
          <w:rFonts w:ascii="Arial" w:hAnsi="Arial"/>
          <w:color w:val="auto"/>
        </w:rPr>
        <w:t xml:space="preserve">, </w:t>
      </w:r>
      <w:r w:rsidR="00416723" w:rsidRPr="00F11EF5">
        <w:rPr>
          <w:rFonts w:ascii="Arial" w:hAnsi="Arial"/>
          <w:snapToGrid/>
          <w:color w:val="auto"/>
        </w:rPr>
        <w:t>pues</w:t>
      </w:r>
      <w:r w:rsidR="00E65A2F" w:rsidRPr="00F11EF5">
        <w:rPr>
          <w:rFonts w:ascii="Arial" w:hAnsi="Arial"/>
          <w:snapToGrid/>
          <w:color w:val="auto"/>
        </w:rPr>
        <w:t>,</w:t>
      </w:r>
      <w:r w:rsidR="00416723" w:rsidRPr="00F11EF5">
        <w:rPr>
          <w:rFonts w:ascii="Arial" w:hAnsi="Arial"/>
          <w:color w:val="auto"/>
        </w:rPr>
        <w:t xml:space="preserve"> en el corto plazo,</w:t>
      </w:r>
      <w:r w:rsidR="00416723" w:rsidRPr="00F11EF5">
        <w:rPr>
          <w:rFonts w:ascii="Arial" w:hAnsi="Arial"/>
          <w:snapToGrid/>
          <w:color w:val="auto"/>
        </w:rPr>
        <w:t xml:space="preserve"> identifica la posible dirección de los movimientos que pudiera tener la variable en cuestión.</w:t>
      </w:r>
    </w:p>
    <w:p w14:paraId="68A51E70" w14:textId="65C72293" w:rsidR="001451EA" w:rsidRPr="00F11EF5" w:rsidRDefault="001451EA" w:rsidP="00F37996">
      <w:pPr>
        <w:widowControl w:val="0"/>
        <w:spacing w:before="240"/>
      </w:pPr>
      <w:r w:rsidRPr="00F11EF5">
        <w:rPr>
          <w:szCs w:val="20"/>
        </w:rPr>
        <w:t>Las series originales se ajustan estacionalmente mediante el paquete estadístico X</w:t>
      </w:r>
      <w:r w:rsidRPr="00F11EF5">
        <w:rPr>
          <w:szCs w:val="20"/>
        </w:rPr>
        <w:noBreakHyphen/>
        <w:t>13ARIMA</w:t>
      </w:r>
      <w:r w:rsidRPr="00F11EF5">
        <w:rPr>
          <w:szCs w:val="20"/>
        </w:rPr>
        <w:noBreakHyphen/>
        <w:t>SEATS. Para conocer la metodología</w:t>
      </w:r>
      <w:r w:rsidR="00F1074B" w:rsidRPr="00F11EF5">
        <w:rPr>
          <w:szCs w:val="20"/>
        </w:rPr>
        <w:t>,</w:t>
      </w:r>
      <w:r w:rsidRPr="00F11EF5">
        <w:rPr>
          <w:szCs w:val="20"/>
        </w:rPr>
        <w:t xml:space="preserve"> </w:t>
      </w:r>
      <w:r w:rsidR="00CE79E7" w:rsidRPr="00F11EF5">
        <w:rPr>
          <w:szCs w:val="20"/>
        </w:rPr>
        <w:t>consúltese</w:t>
      </w:r>
      <w:r w:rsidRPr="00F11EF5">
        <w:rPr>
          <w:szCs w:val="20"/>
        </w:rPr>
        <w:t xml:space="preserve"> la siguiente liga</w:t>
      </w:r>
      <w:r w:rsidRPr="00F11EF5">
        <w:t>:</w:t>
      </w:r>
    </w:p>
    <w:p w14:paraId="218DAC58" w14:textId="77777777" w:rsidR="001451EA" w:rsidRPr="00F11EF5" w:rsidRDefault="00073068" w:rsidP="00F37996">
      <w:pPr>
        <w:rPr>
          <w:color w:val="0000FF"/>
          <w:sz w:val="22"/>
          <w:u w:val="single"/>
          <w:lang w:eastAsia="en-US"/>
        </w:rPr>
      </w:pPr>
      <w:hyperlink r:id="rId28" w:history="1">
        <w:r w:rsidR="001451EA" w:rsidRPr="00F11EF5">
          <w:rPr>
            <w:rStyle w:val="Hipervnculo"/>
            <w:lang w:eastAsia="en-US"/>
          </w:rPr>
          <w:t>https://www.inegi.org.mx/app/biblioteca/ficha.html?upc=702825099060</w:t>
        </w:r>
      </w:hyperlink>
    </w:p>
    <w:p w14:paraId="57D8716F" w14:textId="71B1F9AE" w:rsidR="00B53992" w:rsidRPr="00F11EF5" w:rsidRDefault="03AFBD0F" w:rsidP="003730F3">
      <w:pPr>
        <w:spacing w:before="240"/>
        <w:rPr>
          <w:color w:val="FFFFFF" w:themeColor="background1"/>
        </w:rPr>
      </w:pPr>
      <w:r w:rsidRPr="00F11EF5">
        <w:rPr>
          <w:noProof/>
          <w:lang w:val="es-MX" w:eastAsia="es-MX"/>
        </w:rPr>
        <w:t>L</w:t>
      </w:r>
      <w:r w:rsidR="6C2FE090" w:rsidRPr="00F11EF5">
        <w:rPr>
          <w:noProof/>
          <w:lang w:val="es-MX" w:eastAsia="es-MX"/>
        </w:rPr>
        <w:t>as</w:t>
      </w:r>
      <w:r w:rsidR="719AC5B5" w:rsidRPr="00F11EF5">
        <w:t xml:space="preserve"> especificaciones de los modelos utilizados para realizar el ajuste estacional están disponibles en el Banco de Información Económica</w:t>
      </w:r>
      <w:r w:rsidR="68068D61" w:rsidRPr="00F11EF5">
        <w:t xml:space="preserve"> (</w:t>
      </w:r>
      <w:r w:rsidR="00B53992" w:rsidRPr="00F11EF5">
        <w:rPr>
          <w:smallCaps/>
        </w:rPr>
        <w:t>bie</w:t>
      </w:r>
      <w:r w:rsidR="68068D61" w:rsidRPr="00F11EF5">
        <w:t>)</w:t>
      </w:r>
      <w:r w:rsidR="54DDB147" w:rsidRPr="00F11EF5">
        <w:t>.</w:t>
      </w:r>
      <w:r w:rsidR="719AC5B5" w:rsidRPr="00F11EF5">
        <w:t xml:space="preserve"> </w:t>
      </w:r>
      <w:r w:rsidR="54DDB147" w:rsidRPr="00F11EF5">
        <w:t>S</w:t>
      </w:r>
      <w:r w:rsidR="719AC5B5" w:rsidRPr="00F11EF5">
        <w:t>elecci</w:t>
      </w:r>
      <w:r w:rsidR="0E8DF720" w:rsidRPr="00F11EF5">
        <w:t>one «</w:t>
      </w:r>
      <w:r w:rsidR="68068D61" w:rsidRPr="00F11EF5">
        <w:t xml:space="preserve">Indicadores económicos de coyuntura, Encuesta </w:t>
      </w:r>
      <w:r w:rsidR="6E9002D5" w:rsidRPr="00F11EF5">
        <w:t>M</w:t>
      </w:r>
      <w:r w:rsidR="68068D61" w:rsidRPr="00F11EF5">
        <w:t xml:space="preserve">ensual de la </w:t>
      </w:r>
      <w:r w:rsidR="6E9002D5" w:rsidRPr="00F11EF5">
        <w:t>I</w:t>
      </w:r>
      <w:r w:rsidR="68068D61" w:rsidRPr="00F11EF5">
        <w:t xml:space="preserve">ndustria </w:t>
      </w:r>
      <w:r w:rsidR="46618E56" w:rsidRPr="00F11EF5">
        <w:t>M</w:t>
      </w:r>
      <w:r w:rsidR="68068D61" w:rsidRPr="00F11EF5">
        <w:t>anufacturera</w:t>
      </w:r>
      <w:r w:rsidR="0E8DF720" w:rsidRPr="00F11EF5">
        <w:t>»</w:t>
      </w:r>
      <w:r w:rsidR="719AC5B5" w:rsidRPr="00F11EF5">
        <w:t xml:space="preserve"> </w:t>
      </w:r>
      <w:r w:rsidR="68068D61" w:rsidRPr="00F11EF5">
        <w:t>y vaya al</w:t>
      </w:r>
      <w:r w:rsidR="719AC5B5" w:rsidRPr="00F11EF5">
        <w:t xml:space="preserve"> icono de</w:t>
      </w:r>
      <w:r w:rsidR="0063592A">
        <w:t xml:space="preserve">   </w:t>
      </w:r>
      <w:r w:rsidR="719AC5B5" w:rsidRPr="00F11EF5">
        <w:t>información</w:t>
      </w:r>
      <w:r w:rsidR="00B53992" w:rsidRPr="00F11EF5">
        <w:t xml:space="preserve"> </w:t>
      </w:r>
      <w:r w:rsidR="0063592A">
        <w:rPr>
          <w:noProof/>
        </w:rPr>
        <w:drawing>
          <wp:inline distT="0" distB="0" distL="0" distR="0" wp14:anchorId="03386BDF" wp14:editId="1D52A04D">
            <wp:extent cx="138430" cy="138430"/>
            <wp:effectExtent l="0" t="0" r="0" b="0"/>
            <wp:docPr id="2118229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92A">
        <w:t xml:space="preserve"> </w:t>
      </w:r>
      <w:r w:rsidRPr="00F11EF5">
        <w:t>c</w:t>
      </w:r>
      <w:r w:rsidR="719AC5B5" w:rsidRPr="00F11EF5">
        <w:t xml:space="preserve">orrespondiente a las </w:t>
      </w:r>
      <w:r w:rsidRPr="00F11EF5">
        <w:t>«</w:t>
      </w:r>
      <w:r w:rsidR="719AC5B5" w:rsidRPr="00F11EF5">
        <w:t>series desestacionalizadas y de tendencia</w:t>
      </w:r>
      <w:r w:rsidR="00FF31E9" w:rsidRPr="00F11EF5">
        <w:noBreakHyphen/>
      </w:r>
      <w:r w:rsidR="719AC5B5" w:rsidRPr="00F11EF5">
        <w:t>ciclo</w:t>
      </w:r>
      <w:r w:rsidRPr="00F11EF5">
        <w:t>»</w:t>
      </w:r>
      <w:r w:rsidR="719AC5B5" w:rsidRPr="00F11EF5">
        <w:t>.</w:t>
      </w:r>
      <w:r w:rsidR="719AC5B5" w:rsidRPr="00F11EF5">
        <w:rPr>
          <w:color w:val="FFFFFF" w:themeColor="background1"/>
        </w:rPr>
        <w:t xml:space="preserve"> </w:t>
      </w:r>
    </w:p>
    <w:p w14:paraId="3741B1C2" w14:textId="668A9643" w:rsidR="00095006" w:rsidRPr="00F11EF5" w:rsidRDefault="00F37996" w:rsidP="003730F3">
      <w:pPr>
        <w:spacing w:before="240"/>
        <w:rPr>
          <w:color w:val="FFFFFF" w:themeColor="background1"/>
        </w:rPr>
      </w:pPr>
      <w:r w:rsidRPr="00F11EF5">
        <w:t>M</w:t>
      </w:r>
      <w:r w:rsidR="00CA707F" w:rsidRPr="00F11EF5">
        <w:t xml:space="preserve">ediante la </w:t>
      </w:r>
      <w:r w:rsidR="00B53992" w:rsidRPr="00F11EF5">
        <w:rPr>
          <w:smallCaps/>
        </w:rPr>
        <w:t>emim</w:t>
      </w:r>
      <w:r w:rsidR="00CA707F" w:rsidRPr="00F11EF5">
        <w:t>,</w:t>
      </w:r>
      <w:r w:rsidR="00463CFC" w:rsidRPr="00F11EF5">
        <w:t xml:space="preserve"> </w:t>
      </w:r>
      <w:r w:rsidRPr="00F11EF5">
        <w:t xml:space="preserve">el </w:t>
      </w:r>
      <w:r w:rsidR="00B53992" w:rsidRPr="00F11EF5">
        <w:rPr>
          <w:smallCaps/>
        </w:rPr>
        <w:t>inegi</w:t>
      </w:r>
      <w:r w:rsidRPr="00F11EF5">
        <w:t xml:space="preserve"> </w:t>
      </w:r>
      <w:r w:rsidR="00463CFC" w:rsidRPr="00F11EF5">
        <w:t>genera l</w:t>
      </w:r>
      <w:r w:rsidR="00095006" w:rsidRPr="00F11EF5">
        <w:t xml:space="preserve">a información contenida en este </w:t>
      </w:r>
      <w:r w:rsidR="001E7B4A" w:rsidRPr="00F11EF5">
        <w:t>documento</w:t>
      </w:r>
      <w:r w:rsidR="00095006" w:rsidRPr="00F11EF5">
        <w:t xml:space="preserve"> y </w:t>
      </w:r>
      <w:r w:rsidR="00463CFC" w:rsidRPr="00F11EF5">
        <w:t xml:space="preserve">la </w:t>
      </w:r>
      <w:r w:rsidR="00095006" w:rsidRPr="00F11EF5">
        <w:t xml:space="preserve">da a conocer </w:t>
      </w:r>
      <w:r w:rsidR="006C4987" w:rsidRPr="00F11EF5">
        <w:t>con base</w:t>
      </w:r>
      <w:r w:rsidR="00095006" w:rsidRPr="00F11EF5">
        <w:t xml:space="preserve"> </w:t>
      </w:r>
      <w:r w:rsidR="00095006" w:rsidRPr="00F11EF5">
        <w:rPr>
          <w:spacing w:val="-2"/>
        </w:rPr>
        <w:t xml:space="preserve">en el </w:t>
      </w:r>
      <w:r w:rsidR="00783F98" w:rsidRPr="00F11EF5">
        <w:rPr>
          <w:snapToGrid w:val="0"/>
          <w:spacing w:val="-2"/>
        </w:rPr>
        <w:t xml:space="preserve">Calendario de </w:t>
      </w:r>
      <w:r w:rsidR="00E439E8" w:rsidRPr="00F11EF5">
        <w:rPr>
          <w:snapToGrid w:val="0"/>
          <w:spacing w:val="-2"/>
        </w:rPr>
        <w:t>D</w:t>
      </w:r>
      <w:r w:rsidR="00783F98" w:rsidRPr="00F11EF5">
        <w:rPr>
          <w:snapToGrid w:val="0"/>
          <w:spacing w:val="-2"/>
        </w:rPr>
        <w:t xml:space="preserve">ifusión de </w:t>
      </w:r>
      <w:r w:rsidR="00E439E8" w:rsidRPr="00F11EF5">
        <w:rPr>
          <w:snapToGrid w:val="0"/>
          <w:spacing w:val="-2"/>
        </w:rPr>
        <w:t>I</w:t>
      </w:r>
      <w:r w:rsidR="00783F98" w:rsidRPr="00F11EF5">
        <w:rPr>
          <w:snapToGrid w:val="0"/>
          <w:spacing w:val="-2"/>
        </w:rPr>
        <w:t xml:space="preserve">nformación </w:t>
      </w:r>
      <w:r w:rsidR="00E439E8" w:rsidRPr="00F11EF5">
        <w:rPr>
          <w:snapToGrid w:val="0"/>
          <w:spacing w:val="-2"/>
        </w:rPr>
        <w:t>E</w:t>
      </w:r>
      <w:r w:rsidR="00783F98" w:rsidRPr="00F11EF5">
        <w:rPr>
          <w:snapToGrid w:val="0"/>
          <w:spacing w:val="-2"/>
        </w:rPr>
        <w:t xml:space="preserve">stadística y </w:t>
      </w:r>
      <w:r w:rsidR="00E439E8" w:rsidRPr="00F11EF5">
        <w:rPr>
          <w:snapToGrid w:val="0"/>
          <w:spacing w:val="-2"/>
        </w:rPr>
        <w:t>G</w:t>
      </w:r>
      <w:r w:rsidR="00783F98" w:rsidRPr="00F11EF5">
        <w:rPr>
          <w:snapToGrid w:val="0"/>
          <w:spacing w:val="-2"/>
        </w:rPr>
        <w:t>eográfica y de Interés Nacional</w:t>
      </w:r>
      <w:r w:rsidR="00095006" w:rsidRPr="00F11EF5">
        <w:t>.</w:t>
      </w:r>
    </w:p>
    <w:p w14:paraId="69A8D35D" w14:textId="6CA69766" w:rsidR="00F37996" w:rsidRPr="00F11EF5" w:rsidRDefault="006B5396" w:rsidP="003730F3">
      <w:pPr>
        <w:widowControl w:val="0"/>
        <w:tabs>
          <w:tab w:val="left" w:pos="2394"/>
        </w:tabs>
        <w:spacing w:before="240"/>
      </w:pPr>
      <w:r w:rsidRPr="00F11EF5">
        <w:t>L</w:t>
      </w:r>
      <w:r w:rsidR="00DA7BD3" w:rsidRPr="00F11EF5">
        <w:rPr>
          <w:rFonts w:eastAsiaTheme="minorHAnsi"/>
          <w:lang w:eastAsia="en-US"/>
        </w:rPr>
        <w:t>os resultados</w:t>
      </w:r>
      <w:r w:rsidR="00DA7BD3" w:rsidRPr="00F11EF5">
        <w:t xml:space="preserve"> pueden consulta</w:t>
      </w:r>
      <w:r w:rsidR="00942515" w:rsidRPr="00F11EF5">
        <w:t>r</w:t>
      </w:r>
      <w:r w:rsidR="00BB18E2" w:rsidRPr="00F11EF5">
        <w:t>se</w:t>
      </w:r>
      <w:r w:rsidR="00DA7BD3" w:rsidRPr="00F11EF5">
        <w:t xml:space="preserve"> en la página </w:t>
      </w:r>
      <w:r w:rsidR="00B577E1" w:rsidRPr="00F11EF5">
        <w:t>de</w:t>
      </w:r>
      <w:r w:rsidR="00DA7BD3" w:rsidRPr="00F11EF5">
        <w:t xml:space="preserve">l </w:t>
      </w:r>
      <w:r w:rsidR="00B53992" w:rsidRPr="00F11EF5">
        <w:rPr>
          <w:smallCaps/>
        </w:rPr>
        <w:t>inegi</w:t>
      </w:r>
      <w:r w:rsidR="00113398" w:rsidRPr="00F11EF5">
        <w:t>,</w:t>
      </w:r>
      <w:r w:rsidR="00DA7BD3" w:rsidRPr="00F11EF5">
        <w:t xml:space="preserve"> en las siguientes secciones</w:t>
      </w:r>
      <w:r w:rsidR="00095006" w:rsidRPr="00F11EF5">
        <w:t>:</w:t>
      </w:r>
      <w:r w:rsidR="00F37996" w:rsidRPr="00F11EF5">
        <w:t xml:space="preserve"> </w:t>
      </w:r>
    </w:p>
    <w:p w14:paraId="24B6746E" w14:textId="2C5F7037" w:rsidR="00DA7BD3" w:rsidRPr="00F11EF5" w:rsidRDefault="00DA7BD3" w:rsidP="000B3964">
      <w:pPr>
        <w:widowControl w:val="0"/>
        <w:tabs>
          <w:tab w:val="left" w:pos="2394"/>
        </w:tabs>
        <w:rPr>
          <w:color w:val="0000FF"/>
          <w:u w:val="single"/>
          <w:lang w:val="it-IT"/>
        </w:rPr>
      </w:pPr>
      <w:r w:rsidRPr="00F11EF5">
        <w:rPr>
          <w:lang w:val="it-IT"/>
        </w:rPr>
        <w:t xml:space="preserve">Tema: </w:t>
      </w:r>
      <w:hyperlink r:id="rId30" w:history="1">
        <w:r w:rsidRPr="00F11EF5">
          <w:rPr>
            <w:rStyle w:val="Hipervnculo"/>
            <w:lang w:val="it-IT"/>
          </w:rPr>
          <w:t>https://www.inegi.org.mx/temas/manufacturas/</w:t>
        </w:r>
      </w:hyperlink>
      <w:r w:rsidR="00BD3FD2" w:rsidRPr="00F11EF5">
        <w:rPr>
          <w:rStyle w:val="Hipervnculo"/>
          <w:lang w:val="it-IT"/>
        </w:rPr>
        <w:t xml:space="preserve"> </w:t>
      </w:r>
    </w:p>
    <w:p w14:paraId="069D5C22" w14:textId="0682E91C" w:rsidR="00DA7BD3" w:rsidRPr="00F11EF5" w:rsidRDefault="00DA7BD3" w:rsidP="000B3964">
      <w:pPr>
        <w:widowControl w:val="0"/>
        <w:tabs>
          <w:tab w:val="left" w:pos="2394"/>
        </w:tabs>
        <w:jc w:val="left"/>
        <w:rPr>
          <w:color w:val="0000FF"/>
          <w:u w:val="single"/>
          <w:lang w:val="it-IT"/>
        </w:rPr>
      </w:pPr>
      <w:r w:rsidRPr="00F11EF5">
        <w:rPr>
          <w:lang w:val="it-IT"/>
        </w:rPr>
        <w:t xml:space="preserve">Programa: </w:t>
      </w:r>
      <w:hyperlink r:id="rId31" w:history="1">
        <w:r w:rsidR="006F13A6" w:rsidRPr="00F11EF5">
          <w:rPr>
            <w:rStyle w:val="Hipervnculo"/>
            <w:lang w:val="it-IT"/>
          </w:rPr>
          <w:t>https://www.inegi.org.mx/programas/emim/2018/</w:t>
        </w:r>
      </w:hyperlink>
      <w:r w:rsidR="006F13A6" w:rsidRPr="00F11EF5">
        <w:rPr>
          <w:lang w:val="it-IT"/>
        </w:rPr>
        <w:t xml:space="preserve"> </w:t>
      </w:r>
    </w:p>
    <w:p w14:paraId="5DE4325B" w14:textId="3A1910EA" w:rsidR="00DA7BD3" w:rsidRPr="00F11EF5" w:rsidRDefault="00B53992" w:rsidP="000B3964">
      <w:pPr>
        <w:widowControl w:val="0"/>
        <w:jc w:val="left"/>
        <w:rPr>
          <w:rStyle w:val="Hipervnculo"/>
          <w:lang w:val="es-MX"/>
        </w:rPr>
      </w:pPr>
      <w:r w:rsidRPr="00F11EF5">
        <w:rPr>
          <w:smallCaps/>
          <w:lang w:val="es-MX"/>
        </w:rPr>
        <w:t>bie</w:t>
      </w:r>
      <w:r w:rsidR="00DA7BD3" w:rsidRPr="00F11EF5">
        <w:rPr>
          <w:lang w:val="es-MX"/>
        </w:rPr>
        <w:t>:</w:t>
      </w:r>
      <w:r w:rsidR="00FF31E9" w:rsidRPr="00F11EF5">
        <w:rPr>
          <w:lang w:val="es-MX"/>
        </w:rPr>
        <w:t xml:space="preserve"> </w:t>
      </w:r>
      <w:hyperlink r:id="rId32" w:history="1">
        <w:r w:rsidR="00FF31E9" w:rsidRPr="00F11EF5">
          <w:rPr>
            <w:rStyle w:val="Hipervnculo"/>
            <w:lang w:val="es-MX"/>
          </w:rPr>
          <w:t>https://www.inegi.org.mx/app/indicadores/?tm=0</w:t>
        </w:r>
      </w:hyperlink>
      <w:r w:rsidR="00BD3FD2" w:rsidRPr="00F11EF5">
        <w:rPr>
          <w:rStyle w:val="Hipervnculo"/>
          <w:lang w:val="es-MX"/>
        </w:rPr>
        <w:t xml:space="preserve"> </w:t>
      </w:r>
    </w:p>
    <w:sectPr w:rsidR="00DA7BD3" w:rsidRPr="00F11EF5" w:rsidSect="00576B51">
      <w:headerReference w:type="default" r:id="rId33"/>
      <w:footerReference w:type="default" r:id="rId34"/>
      <w:pgSz w:w="12242" w:h="15842" w:code="1"/>
      <w:pgMar w:top="1134" w:right="1134" w:bottom="1134" w:left="1134" w:header="567" w:footer="567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5916" w14:textId="77777777" w:rsidR="00073068" w:rsidRDefault="00073068">
      <w:r>
        <w:separator/>
      </w:r>
    </w:p>
  </w:endnote>
  <w:endnote w:type="continuationSeparator" w:id="0">
    <w:p w14:paraId="2DBE95B8" w14:textId="77777777" w:rsidR="00073068" w:rsidRDefault="00073068">
      <w:r>
        <w:continuationSeparator/>
      </w:r>
    </w:p>
  </w:endnote>
  <w:endnote w:type="continuationNotice" w:id="1">
    <w:p w14:paraId="43233D01" w14:textId="77777777" w:rsidR="00073068" w:rsidRDefault="00073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53FC" w14:textId="7BA5092C" w:rsidR="00A14611" w:rsidRPr="00247258" w:rsidRDefault="0044026C" w:rsidP="003076C4">
    <w:pPr>
      <w:pStyle w:val="Piedepgina"/>
      <w:jc w:val="center"/>
      <w:rPr>
        <w:b/>
        <w:color w:val="003057"/>
        <w:sz w:val="20"/>
        <w:szCs w:val="20"/>
        <w:lang w:val="es-MX"/>
      </w:rPr>
    </w:pPr>
    <w:r>
      <w:rPr>
        <w:b/>
        <w:color w:val="003057"/>
        <w:sz w:val="20"/>
        <w:szCs w:val="20"/>
        <w:lang w:val="es-MX"/>
      </w:rPr>
      <w:t>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19F22" w14:textId="77777777" w:rsidR="00073068" w:rsidRDefault="00073068">
      <w:r>
        <w:separator/>
      </w:r>
    </w:p>
  </w:footnote>
  <w:footnote w:type="continuationSeparator" w:id="0">
    <w:p w14:paraId="7B2BA1EF" w14:textId="77777777" w:rsidR="00073068" w:rsidRDefault="00073068">
      <w:r>
        <w:continuationSeparator/>
      </w:r>
    </w:p>
  </w:footnote>
  <w:footnote w:type="continuationNotice" w:id="1">
    <w:p w14:paraId="4458BB04" w14:textId="77777777" w:rsidR="00073068" w:rsidRDefault="00073068"/>
  </w:footnote>
  <w:footnote w:id="2">
    <w:p w14:paraId="3D308555" w14:textId="77777777" w:rsidR="0075747A" w:rsidRPr="004D55BC" w:rsidRDefault="0075747A" w:rsidP="0075747A">
      <w:pPr>
        <w:pStyle w:val="Textonotapie"/>
        <w:ind w:left="196" w:hanging="196"/>
        <w:rPr>
          <w:sz w:val="16"/>
          <w:szCs w:val="16"/>
        </w:rPr>
      </w:pPr>
      <w:r w:rsidRPr="000214FB">
        <w:rPr>
          <w:rStyle w:val="Refdenotaalpie"/>
          <w:sz w:val="16"/>
          <w:szCs w:val="16"/>
        </w:rPr>
        <w:footnoteRef/>
      </w:r>
      <w:r w:rsidRPr="0075747A">
        <w:rPr>
          <w:sz w:val="16"/>
          <w:szCs w:val="16"/>
        </w:rPr>
        <w:tab/>
      </w:r>
      <w:r w:rsidRPr="00BF4A44">
        <w:rPr>
          <w:sz w:val="16"/>
          <w:szCs w:val="16"/>
        </w:rPr>
        <w:t>La mayoría de las series económicas se ve afectada por factores estacionales y de calendario. El ajuste de l</w:t>
      </w:r>
      <w:r>
        <w:rPr>
          <w:sz w:val="16"/>
          <w:szCs w:val="16"/>
        </w:rPr>
        <w:t>os datos</w:t>
      </w:r>
      <w:r w:rsidRPr="00BF4A44">
        <w:rPr>
          <w:sz w:val="16"/>
          <w:szCs w:val="16"/>
        </w:rPr>
        <w:t xml:space="preserve"> por dichos factores permite obtener las cifras desestacionalizadas</w:t>
      </w:r>
      <w:r>
        <w:rPr>
          <w:sz w:val="16"/>
          <w:szCs w:val="16"/>
        </w:rPr>
        <w:t>. Su</w:t>
      </w:r>
      <w:r w:rsidRPr="00BF4A44">
        <w:rPr>
          <w:sz w:val="16"/>
          <w:szCs w:val="16"/>
        </w:rPr>
        <w:t xml:space="preserve"> análisis ayuda a realizar un mejor diagnóstico de la evolución de las variables.</w:t>
      </w:r>
    </w:p>
  </w:footnote>
  <w:footnote w:id="3">
    <w:p w14:paraId="3B2109EF" w14:textId="33BC6734" w:rsidR="006C26EE" w:rsidRPr="00CE5463" w:rsidRDefault="006C26EE" w:rsidP="006C26EE">
      <w:pPr>
        <w:pStyle w:val="Textonotapie"/>
        <w:ind w:left="170" w:hanging="170"/>
        <w:rPr>
          <w:lang w:val="es-MX"/>
        </w:rPr>
      </w:pPr>
      <w:r w:rsidRPr="000214FB">
        <w:rPr>
          <w:rStyle w:val="Refdenotaalpie"/>
          <w:sz w:val="16"/>
          <w:szCs w:val="16"/>
        </w:rPr>
        <w:footnoteRef/>
      </w:r>
      <w:r w:rsidRPr="00336A95">
        <w:rPr>
          <w:sz w:val="18"/>
          <w:szCs w:val="18"/>
        </w:rPr>
        <w:t xml:space="preserve"> </w:t>
      </w:r>
      <w:r>
        <w:tab/>
      </w:r>
      <w:r w:rsidRPr="00336A95">
        <w:rPr>
          <w:sz w:val="16"/>
          <w:szCs w:val="16"/>
        </w:rPr>
        <w:t>Tendencia-ciclo es la combinación de los componentes de tendencia y ciclo. La tendencia se refiere a la evolución de largo plazo de la serie de tiempo</w:t>
      </w:r>
      <w:r w:rsidR="00546756">
        <w:rPr>
          <w:sz w:val="16"/>
          <w:szCs w:val="16"/>
        </w:rPr>
        <w:t>,</w:t>
      </w:r>
      <w:r w:rsidRPr="00336A95">
        <w:rPr>
          <w:sz w:val="16"/>
          <w:szCs w:val="16"/>
        </w:rPr>
        <w:t xml:space="preserve"> y el ciclo, a las desviaciones alrededor de la tendencia.</w:t>
      </w:r>
    </w:p>
  </w:footnote>
  <w:footnote w:id="4">
    <w:p w14:paraId="2C132A7C" w14:textId="540B5DD2" w:rsidR="0075747A" w:rsidRPr="004D55BC" w:rsidRDefault="0075747A" w:rsidP="0075747A">
      <w:pPr>
        <w:pStyle w:val="Textonotapie"/>
        <w:ind w:left="196" w:hanging="196"/>
        <w:rPr>
          <w:sz w:val="16"/>
          <w:szCs w:val="16"/>
        </w:rPr>
      </w:pPr>
      <w:r w:rsidRPr="000214FB">
        <w:rPr>
          <w:rStyle w:val="Refdenotaalpie"/>
          <w:sz w:val="16"/>
          <w:szCs w:val="16"/>
        </w:rPr>
        <w:footnoteRef/>
      </w:r>
      <w:r w:rsidRPr="00BF4A44">
        <w:tab/>
      </w:r>
      <w:r w:rsidRPr="00BD0991">
        <w:rPr>
          <w:sz w:val="16"/>
          <w:szCs w:val="16"/>
        </w:rPr>
        <w:t>Las cifras de remuneraciones s</w:t>
      </w:r>
      <w:r>
        <w:rPr>
          <w:sz w:val="16"/>
          <w:szCs w:val="16"/>
        </w:rPr>
        <w:t>e</w:t>
      </w:r>
      <w:r w:rsidRPr="00BD0991">
        <w:rPr>
          <w:sz w:val="16"/>
          <w:szCs w:val="16"/>
        </w:rPr>
        <w:t xml:space="preserve"> deflacta</w:t>
      </w:r>
      <w:r>
        <w:rPr>
          <w:sz w:val="16"/>
          <w:szCs w:val="16"/>
        </w:rPr>
        <w:t>n</w:t>
      </w:r>
      <w:r w:rsidRPr="00BD0991">
        <w:rPr>
          <w:sz w:val="16"/>
          <w:szCs w:val="16"/>
        </w:rPr>
        <w:t xml:space="preserve"> con el Í</w:t>
      </w:r>
      <w:r>
        <w:rPr>
          <w:sz w:val="16"/>
          <w:szCs w:val="16"/>
        </w:rPr>
        <w:t xml:space="preserve">ndice </w:t>
      </w:r>
      <w:r w:rsidRPr="00BD0991">
        <w:rPr>
          <w:sz w:val="16"/>
          <w:szCs w:val="16"/>
        </w:rPr>
        <w:t>N</w:t>
      </w:r>
      <w:r>
        <w:rPr>
          <w:sz w:val="16"/>
          <w:szCs w:val="16"/>
        </w:rPr>
        <w:t xml:space="preserve">acional de </w:t>
      </w:r>
      <w:r w:rsidRPr="00BD0991">
        <w:rPr>
          <w:sz w:val="16"/>
          <w:szCs w:val="16"/>
        </w:rPr>
        <w:t>P</w:t>
      </w:r>
      <w:r>
        <w:rPr>
          <w:sz w:val="16"/>
          <w:szCs w:val="16"/>
        </w:rPr>
        <w:t xml:space="preserve">recios al </w:t>
      </w:r>
      <w:r w:rsidRPr="00BD0991">
        <w:rPr>
          <w:sz w:val="16"/>
          <w:szCs w:val="16"/>
        </w:rPr>
        <w:t>C</w:t>
      </w:r>
      <w:r>
        <w:rPr>
          <w:sz w:val="16"/>
          <w:szCs w:val="16"/>
        </w:rPr>
        <w:t>onsumidor</w:t>
      </w:r>
      <w:r w:rsidR="00DC2221">
        <w:rPr>
          <w:sz w:val="16"/>
          <w:szCs w:val="16"/>
        </w:rPr>
        <w:t xml:space="preserve"> (</w:t>
      </w:r>
      <w:r w:rsidR="00DC2221" w:rsidRPr="00DC2221">
        <w:rPr>
          <w:smallCaps/>
          <w:sz w:val="16"/>
          <w:szCs w:val="16"/>
        </w:rPr>
        <w:t>inpc</w:t>
      </w:r>
      <w:r w:rsidR="00DC2221">
        <w:rPr>
          <w:sz w:val="16"/>
          <w:szCs w:val="16"/>
        </w:rPr>
        <w:t>)</w:t>
      </w:r>
      <w:r w:rsidRPr="00BF4A4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8BAA" w14:textId="77777777" w:rsidR="0044026C" w:rsidRDefault="0044026C" w:rsidP="0044026C"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4E1B0EB" wp14:editId="214D0B67">
          <wp:simplePos x="0" y="0"/>
          <wp:positionH relativeFrom="margin">
            <wp:posOffset>-12976</wp:posOffset>
          </wp:positionH>
          <wp:positionV relativeFrom="paragraph">
            <wp:posOffset>-32385</wp:posOffset>
          </wp:positionV>
          <wp:extent cx="1673225" cy="795020"/>
          <wp:effectExtent l="0" t="0" r="3175" b="0"/>
          <wp:wrapSquare wrapText="bothSides"/>
          <wp:docPr id="1799583202" name="Imagen 1799583202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66350" name="Imagen 2" descr="Un letrero de color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347"/>
                  <a:stretch/>
                </pic:blipFill>
                <pic:spPr bwMode="auto">
                  <a:xfrm>
                    <a:off x="0" y="0"/>
                    <a:ext cx="167322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1CA377" w14:textId="0FF96ED5" w:rsidR="0044026C" w:rsidRPr="00306ECD" w:rsidRDefault="0044026C" w:rsidP="0044026C">
    <w:pPr>
      <w:pStyle w:val="Encabezado"/>
      <w:ind w:left="-142" w:right="49" w:hanging="142"/>
      <w:jc w:val="right"/>
      <w:rPr>
        <w:b/>
        <w:color w:val="002060"/>
        <w:lang w:val="pt-BR"/>
      </w:rPr>
    </w:pPr>
    <w:r w:rsidRPr="00306ECD">
      <w:rPr>
        <w:b/>
        <w:color w:val="002060"/>
      </w:rPr>
      <w:t>Comunicado de prensa núm</w:t>
    </w:r>
    <w:r>
      <w:rPr>
        <w:b/>
        <w:color w:val="002060"/>
      </w:rPr>
      <w:t>ero</w:t>
    </w:r>
    <w:r w:rsidRPr="00306ECD">
      <w:rPr>
        <w:b/>
        <w:color w:val="002060"/>
      </w:rPr>
      <w:t xml:space="preserve"> </w:t>
    </w:r>
    <w:r>
      <w:rPr>
        <w:b/>
        <w:color w:val="002060"/>
      </w:rPr>
      <w:t>226</w:t>
    </w:r>
    <w:r w:rsidRPr="00306ECD">
      <w:rPr>
        <w:b/>
        <w:color w:val="002060"/>
      </w:rPr>
      <w:t>/2</w:t>
    </w:r>
    <w:r>
      <w:rPr>
        <w:b/>
        <w:color w:val="002060"/>
      </w:rPr>
      <w:t>4</w:t>
    </w:r>
  </w:p>
  <w:p w14:paraId="09B7FA9A" w14:textId="3203115B" w:rsidR="0044026C" w:rsidRPr="00306ECD" w:rsidRDefault="0044026C" w:rsidP="0044026C">
    <w:pPr>
      <w:pStyle w:val="Encabezado"/>
      <w:tabs>
        <w:tab w:val="clear" w:pos="4320"/>
        <w:tab w:val="clear" w:pos="8640"/>
      </w:tabs>
      <w:ind w:left="-567" w:right="49"/>
      <w:jc w:val="right"/>
      <w:rPr>
        <w:b/>
        <w:color w:val="002060"/>
        <w:lang w:val="pt-BR"/>
      </w:rPr>
    </w:pPr>
    <w:r>
      <w:rPr>
        <w:b/>
        <w:color w:val="002060"/>
        <w:lang w:val="pt-BR"/>
      </w:rPr>
      <w:t xml:space="preserve">15 de abril de </w:t>
    </w:r>
    <w:r w:rsidRPr="00306ECD">
      <w:rPr>
        <w:b/>
        <w:color w:val="002060"/>
        <w:lang w:val="pt-BR"/>
      </w:rPr>
      <w:t>202</w:t>
    </w:r>
    <w:r>
      <w:rPr>
        <w:b/>
        <w:color w:val="002060"/>
        <w:lang w:val="pt-BR"/>
      </w:rPr>
      <w:t>4</w:t>
    </w:r>
  </w:p>
  <w:p w14:paraId="7215AED9" w14:textId="77777777" w:rsidR="0044026C" w:rsidRPr="00F22E89" w:rsidRDefault="0044026C" w:rsidP="0044026C">
    <w:pPr>
      <w:pStyle w:val="Encabezado"/>
      <w:ind w:left="-567" w:right="49"/>
      <w:jc w:val="right"/>
      <w:rPr>
        <w:b/>
        <w:color w:val="002060"/>
      </w:rPr>
    </w:pPr>
    <w:r w:rsidRPr="006B2980">
      <w:rPr>
        <w:b/>
        <w:color w:val="002060"/>
      </w:rPr>
      <w:t xml:space="preserve">Página </w:t>
    </w:r>
    <w:r w:rsidRPr="006B2980">
      <w:rPr>
        <w:b/>
        <w:color w:val="002060"/>
      </w:rPr>
      <w:fldChar w:fldCharType="begin"/>
    </w:r>
    <w:r w:rsidRPr="006B2980">
      <w:rPr>
        <w:b/>
        <w:color w:val="002060"/>
      </w:rPr>
      <w:instrText xml:space="preserve"> PAGE  \* Arabic </w:instrText>
    </w:r>
    <w:r w:rsidRPr="006B2980">
      <w:rPr>
        <w:b/>
        <w:color w:val="002060"/>
      </w:rPr>
      <w:fldChar w:fldCharType="separate"/>
    </w:r>
    <w:r>
      <w:rPr>
        <w:b/>
        <w:color w:val="002060"/>
      </w:rPr>
      <w:t>1</w:t>
    </w:r>
    <w:r w:rsidRPr="006B2980">
      <w:rPr>
        <w:b/>
        <w:color w:val="002060"/>
      </w:rPr>
      <w:fldChar w:fldCharType="end"/>
    </w:r>
    <w:r w:rsidRPr="006B2980">
      <w:rPr>
        <w:b/>
        <w:color w:val="002060"/>
      </w:rPr>
      <w:t>/</w:t>
    </w:r>
    <w:r>
      <w:rPr>
        <w:b/>
        <w:color w:val="002060"/>
      </w:rPr>
      <w:t>10</w:t>
    </w:r>
  </w:p>
  <w:p w14:paraId="08B823FC" w14:textId="6D580207" w:rsidR="00A14611" w:rsidRPr="0044026C" w:rsidRDefault="00A14611" w:rsidP="004402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A139D0"/>
    <w:multiLevelType w:val="hybridMultilevel"/>
    <w:tmpl w:val="D7A8C186"/>
    <w:lvl w:ilvl="0" w:tplc="3E909774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31AD"/>
    <w:multiLevelType w:val="hybridMultilevel"/>
    <w:tmpl w:val="4036C3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D4183"/>
    <w:multiLevelType w:val="hybridMultilevel"/>
    <w:tmpl w:val="F006B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2A60"/>
    <w:multiLevelType w:val="hybridMultilevel"/>
    <w:tmpl w:val="96908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F2BA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2DBC38F5"/>
    <w:multiLevelType w:val="hybridMultilevel"/>
    <w:tmpl w:val="C08E9FB6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28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2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-1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-7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-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</w:abstractNum>
  <w:abstractNum w:abstractNumId="7" w15:restartNumberingAfterBreak="0">
    <w:nsid w:val="2FC854E1"/>
    <w:multiLevelType w:val="hybridMultilevel"/>
    <w:tmpl w:val="D2907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6A0"/>
    <w:multiLevelType w:val="multilevel"/>
    <w:tmpl w:val="EF704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EE6391"/>
    <w:multiLevelType w:val="multilevel"/>
    <w:tmpl w:val="1D78F8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970A15"/>
    <w:multiLevelType w:val="multilevel"/>
    <w:tmpl w:val="CD70D85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000E50"/>
    <w:multiLevelType w:val="hybridMultilevel"/>
    <w:tmpl w:val="8A5A49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C08B2"/>
    <w:multiLevelType w:val="multilevel"/>
    <w:tmpl w:val="951851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77E097B"/>
    <w:multiLevelType w:val="hybridMultilevel"/>
    <w:tmpl w:val="C256E852"/>
    <w:lvl w:ilvl="0" w:tplc="D8E6728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4" w15:restartNumberingAfterBreak="0">
    <w:nsid w:val="78E06DA8"/>
    <w:multiLevelType w:val="hybridMultilevel"/>
    <w:tmpl w:val="02C4563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2561"/>
    <w:multiLevelType w:val="hybridMultilevel"/>
    <w:tmpl w:val="6CC4F5E8"/>
    <w:lvl w:ilvl="0" w:tplc="0C0A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7F40135A"/>
    <w:multiLevelType w:val="multilevel"/>
    <w:tmpl w:val="47944F4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1">
    <w:abstractNumId w:val="13"/>
  </w:num>
  <w:num w:numId="12">
    <w:abstractNumId w:val="15"/>
  </w:num>
  <w:num w:numId="13">
    <w:abstractNumId w:val="16"/>
  </w:num>
  <w:num w:numId="14">
    <w:abstractNumId w:val="10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C9"/>
    <w:rsid w:val="0000043F"/>
    <w:rsid w:val="00000BEA"/>
    <w:rsid w:val="0000165D"/>
    <w:rsid w:val="0000180F"/>
    <w:rsid w:val="00002466"/>
    <w:rsid w:val="00002665"/>
    <w:rsid w:val="000027BD"/>
    <w:rsid w:val="00002B26"/>
    <w:rsid w:val="000036C6"/>
    <w:rsid w:val="00003C25"/>
    <w:rsid w:val="00003C68"/>
    <w:rsid w:val="00004291"/>
    <w:rsid w:val="0000458A"/>
    <w:rsid w:val="000050C6"/>
    <w:rsid w:val="00005940"/>
    <w:rsid w:val="00005DA1"/>
    <w:rsid w:val="00006B5A"/>
    <w:rsid w:val="000078B1"/>
    <w:rsid w:val="00007A1A"/>
    <w:rsid w:val="000101A8"/>
    <w:rsid w:val="00010420"/>
    <w:rsid w:val="00010976"/>
    <w:rsid w:val="00010A38"/>
    <w:rsid w:val="00010A59"/>
    <w:rsid w:val="00010E9F"/>
    <w:rsid w:val="00010F4C"/>
    <w:rsid w:val="000112A7"/>
    <w:rsid w:val="0001151F"/>
    <w:rsid w:val="00011840"/>
    <w:rsid w:val="00011AC0"/>
    <w:rsid w:val="00011BD3"/>
    <w:rsid w:val="00012278"/>
    <w:rsid w:val="00012291"/>
    <w:rsid w:val="00012A27"/>
    <w:rsid w:val="00012E16"/>
    <w:rsid w:val="0001302A"/>
    <w:rsid w:val="000132A4"/>
    <w:rsid w:val="00013319"/>
    <w:rsid w:val="00013A40"/>
    <w:rsid w:val="00013E55"/>
    <w:rsid w:val="000141AE"/>
    <w:rsid w:val="0001447E"/>
    <w:rsid w:val="000144ED"/>
    <w:rsid w:val="00014FBD"/>
    <w:rsid w:val="00015302"/>
    <w:rsid w:val="00016590"/>
    <w:rsid w:val="00016B4E"/>
    <w:rsid w:val="00016D3A"/>
    <w:rsid w:val="0001718D"/>
    <w:rsid w:val="000176AC"/>
    <w:rsid w:val="00017BE1"/>
    <w:rsid w:val="00020129"/>
    <w:rsid w:val="00020181"/>
    <w:rsid w:val="000212A9"/>
    <w:rsid w:val="00021432"/>
    <w:rsid w:val="00021492"/>
    <w:rsid w:val="000214FB"/>
    <w:rsid w:val="000216A3"/>
    <w:rsid w:val="000221C5"/>
    <w:rsid w:val="000223CB"/>
    <w:rsid w:val="000228C4"/>
    <w:rsid w:val="000228C6"/>
    <w:rsid w:val="00022CA3"/>
    <w:rsid w:val="00023718"/>
    <w:rsid w:val="00024907"/>
    <w:rsid w:val="000260CF"/>
    <w:rsid w:val="000260EE"/>
    <w:rsid w:val="000263A4"/>
    <w:rsid w:val="00026B3C"/>
    <w:rsid w:val="00026B52"/>
    <w:rsid w:val="00026F99"/>
    <w:rsid w:val="000275A4"/>
    <w:rsid w:val="00027EBB"/>
    <w:rsid w:val="00027F7C"/>
    <w:rsid w:val="00030480"/>
    <w:rsid w:val="0003065F"/>
    <w:rsid w:val="00030D10"/>
    <w:rsid w:val="00030FE7"/>
    <w:rsid w:val="0003122B"/>
    <w:rsid w:val="00031231"/>
    <w:rsid w:val="000314D3"/>
    <w:rsid w:val="00031515"/>
    <w:rsid w:val="000315B7"/>
    <w:rsid w:val="00031BCF"/>
    <w:rsid w:val="00032B16"/>
    <w:rsid w:val="00032D6E"/>
    <w:rsid w:val="00033603"/>
    <w:rsid w:val="00033A14"/>
    <w:rsid w:val="0003447A"/>
    <w:rsid w:val="00034BC3"/>
    <w:rsid w:val="000350C8"/>
    <w:rsid w:val="000353F3"/>
    <w:rsid w:val="00035600"/>
    <w:rsid w:val="000356C5"/>
    <w:rsid w:val="00035B2D"/>
    <w:rsid w:val="00035DA7"/>
    <w:rsid w:val="00036448"/>
    <w:rsid w:val="00036C65"/>
    <w:rsid w:val="00036D72"/>
    <w:rsid w:val="00037089"/>
    <w:rsid w:val="0003711F"/>
    <w:rsid w:val="00037177"/>
    <w:rsid w:val="00037CC4"/>
    <w:rsid w:val="0004066E"/>
    <w:rsid w:val="00040F75"/>
    <w:rsid w:val="00041B06"/>
    <w:rsid w:val="00041B8B"/>
    <w:rsid w:val="00041FF7"/>
    <w:rsid w:val="0004225C"/>
    <w:rsid w:val="00042BA8"/>
    <w:rsid w:val="00043535"/>
    <w:rsid w:val="00043B32"/>
    <w:rsid w:val="00043E2B"/>
    <w:rsid w:val="00044296"/>
    <w:rsid w:val="00044699"/>
    <w:rsid w:val="000446D6"/>
    <w:rsid w:val="00044700"/>
    <w:rsid w:val="00044C5E"/>
    <w:rsid w:val="0004591A"/>
    <w:rsid w:val="0004596A"/>
    <w:rsid w:val="00045A9F"/>
    <w:rsid w:val="00045AF1"/>
    <w:rsid w:val="00045BB9"/>
    <w:rsid w:val="00045E9B"/>
    <w:rsid w:val="00046139"/>
    <w:rsid w:val="000465BF"/>
    <w:rsid w:val="0004669B"/>
    <w:rsid w:val="00046822"/>
    <w:rsid w:val="00046AB6"/>
    <w:rsid w:val="00046D06"/>
    <w:rsid w:val="000471CD"/>
    <w:rsid w:val="0004735D"/>
    <w:rsid w:val="0004777C"/>
    <w:rsid w:val="000501E0"/>
    <w:rsid w:val="000504DA"/>
    <w:rsid w:val="00050934"/>
    <w:rsid w:val="00050FB5"/>
    <w:rsid w:val="00051C72"/>
    <w:rsid w:val="00051D1C"/>
    <w:rsid w:val="00051D9E"/>
    <w:rsid w:val="0005212C"/>
    <w:rsid w:val="000526CB"/>
    <w:rsid w:val="00052F04"/>
    <w:rsid w:val="00052F1E"/>
    <w:rsid w:val="000536D2"/>
    <w:rsid w:val="00053B2C"/>
    <w:rsid w:val="00053CF7"/>
    <w:rsid w:val="00053EB7"/>
    <w:rsid w:val="00053EEF"/>
    <w:rsid w:val="00054316"/>
    <w:rsid w:val="00054A4F"/>
    <w:rsid w:val="00055047"/>
    <w:rsid w:val="000556AA"/>
    <w:rsid w:val="00055B54"/>
    <w:rsid w:val="0005623C"/>
    <w:rsid w:val="0005631C"/>
    <w:rsid w:val="00056964"/>
    <w:rsid w:val="00056F51"/>
    <w:rsid w:val="000573F5"/>
    <w:rsid w:val="00057C6A"/>
    <w:rsid w:val="00057F37"/>
    <w:rsid w:val="000602B0"/>
    <w:rsid w:val="0006056C"/>
    <w:rsid w:val="00061095"/>
    <w:rsid w:val="000611A5"/>
    <w:rsid w:val="0006135D"/>
    <w:rsid w:val="00061587"/>
    <w:rsid w:val="00061D51"/>
    <w:rsid w:val="00062071"/>
    <w:rsid w:val="0006228A"/>
    <w:rsid w:val="00062539"/>
    <w:rsid w:val="00063614"/>
    <w:rsid w:val="00063838"/>
    <w:rsid w:val="00063D68"/>
    <w:rsid w:val="0006433F"/>
    <w:rsid w:val="000646BA"/>
    <w:rsid w:val="00064774"/>
    <w:rsid w:val="00064BBC"/>
    <w:rsid w:val="00064E9D"/>
    <w:rsid w:val="00064EAA"/>
    <w:rsid w:val="00064FDB"/>
    <w:rsid w:val="00065106"/>
    <w:rsid w:val="000651F1"/>
    <w:rsid w:val="00065708"/>
    <w:rsid w:val="00065A07"/>
    <w:rsid w:val="00065BC1"/>
    <w:rsid w:val="00066638"/>
    <w:rsid w:val="00066EA7"/>
    <w:rsid w:val="00067AC6"/>
    <w:rsid w:val="0007012A"/>
    <w:rsid w:val="0007017F"/>
    <w:rsid w:val="000703E0"/>
    <w:rsid w:val="00070431"/>
    <w:rsid w:val="000707FF"/>
    <w:rsid w:val="00070864"/>
    <w:rsid w:val="0007145A"/>
    <w:rsid w:val="00071701"/>
    <w:rsid w:val="00071F33"/>
    <w:rsid w:val="000725AC"/>
    <w:rsid w:val="00072B18"/>
    <w:rsid w:val="00073068"/>
    <w:rsid w:val="000730F3"/>
    <w:rsid w:val="00073491"/>
    <w:rsid w:val="000739D2"/>
    <w:rsid w:val="00073EF4"/>
    <w:rsid w:val="000753EC"/>
    <w:rsid w:val="0007567F"/>
    <w:rsid w:val="00075B3A"/>
    <w:rsid w:val="00075DEC"/>
    <w:rsid w:val="00076234"/>
    <w:rsid w:val="000767F7"/>
    <w:rsid w:val="000769D0"/>
    <w:rsid w:val="00076EE9"/>
    <w:rsid w:val="000770F7"/>
    <w:rsid w:val="00077255"/>
    <w:rsid w:val="00077690"/>
    <w:rsid w:val="000776DB"/>
    <w:rsid w:val="00077C46"/>
    <w:rsid w:val="000801AF"/>
    <w:rsid w:val="0008027F"/>
    <w:rsid w:val="00080638"/>
    <w:rsid w:val="0008084D"/>
    <w:rsid w:val="000814ED"/>
    <w:rsid w:val="000816D0"/>
    <w:rsid w:val="0008175A"/>
    <w:rsid w:val="0008195B"/>
    <w:rsid w:val="000819D4"/>
    <w:rsid w:val="000821AB"/>
    <w:rsid w:val="000823F0"/>
    <w:rsid w:val="000826F7"/>
    <w:rsid w:val="00082F11"/>
    <w:rsid w:val="0008325D"/>
    <w:rsid w:val="000834DD"/>
    <w:rsid w:val="000839BB"/>
    <w:rsid w:val="00083A1D"/>
    <w:rsid w:val="00084687"/>
    <w:rsid w:val="00084A57"/>
    <w:rsid w:val="00084BED"/>
    <w:rsid w:val="00084EDB"/>
    <w:rsid w:val="00084FF2"/>
    <w:rsid w:val="0008524D"/>
    <w:rsid w:val="000856E9"/>
    <w:rsid w:val="00086295"/>
    <w:rsid w:val="000867AF"/>
    <w:rsid w:val="0008756B"/>
    <w:rsid w:val="00087DB7"/>
    <w:rsid w:val="0009025D"/>
    <w:rsid w:val="00090B9C"/>
    <w:rsid w:val="00090D7B"/>
    <w:rsid w:val="00091474"/>
    <w:rsid w:val="000915F7"/>
    <w:rsid w:val="00091E81"/>
    <w:rsid w:val="00092764"/>
    <w:rsid w:val="0009292F"/>
    <w:rsid w:val="00092F4C"/>
    <w:rsid w:val="00094141"/>
    <w:rsid w:val="00094496"/>
    <w:rsid w:val="00094971"/>
    <w:rsid w:val="00095006"/>
    <w:rsid w:val="000950E7"/>
    <w:rsid w:val="00095360"/>
    <w:rsid w:val="000955AA"/>
    <w:rsid w:val="000957BC"/>
    <w:rsid w:val="00095861"/>
    <w:rsid w:val="00095E83"/>
    <w:rsid w:val="00096737"/>
    <w:rsid w:val="00096FE0"/>
    <w:rsid w:val="0009797F"/>
    <w:rsid w:val="00097C0A"/>
    <w:rsid w:val="000A0344"/>
    <w:rsid w:val="000A0823"/>
    <w:rsid w:val="000A0AEC"/>
    <w:rsid w:val="000A135E"/>
    <w:rsid w:val="000A21D6"/>
    <w:rsid w:val="000A23A9"/>
    <w:rsid w:val="000A242C"/>
    <w:rsid w:val="000A2F4F"/>
    <w:rsid w:val="000A31EF"/>
    <w:rsid w:val="000A3354"/>
    <w:rsid w:val="000A3733"/>
    <w:rsid w:val="000A3F59"/>
    <w:rsid w:val="000A43B0"/>
    <w:rsid w:val="000A4760"/>
    <w:rsid w:val="000A47D8"/>
    <w:rsid w:val="000A53E6"/>
    <w:rsid w:val="000A574B"/>
    <w:rsid w:val="000A5B04"/>
    <w:rsid w:val="000A5E2A"/>
    <w:rsid w:val="000A643B"/>
    <w:rsid w:val="000A6FB8"/>
    <w:rsid w:val="000A707A"/>
    <w:rsid w:val="000A75AC"/>
    <w:rsid w:val="000A78BA"/>
    <w:rsid w:val="000B01F4"/>
    <w:rsid w:val="000B04AE"/>
    <w:rsid w:val="000B0589"/>
    <w:rsid w:val="000B0710"/>
    <w:rsid w:val="000B077E"/>
    <w:rsid w:val="000B1AC5"/>
    <w:rsid w:val="000B1C11"/>
    <w:rsid w:val="000B1C4E"/>
    <w:rsid w:val="000B1D13"/>
    <w:rsid w:val="000B224B"/>
    <w:rsid w:val="000B2297"/>
    <w:rsid w:val="000B29B8"/>
    <w:rsid w:val="000B2A27"/>
    <w:rsid w:val="000B358E"/>
    <w:rsid w:val="000B3964"/>
    <w:rsid w:val="000B3CDD"/>
    <w:rsid w:val="000B4414"/>
    <w:rsid w:val="000B4A6A"/>
    <w:rsid w:val="000B50FB"/>
    <w:rsid w:val="000B515D"/>
    <w:rsid w:val="000B5A74"/>
    <w:rsid w:val="000B5FA3"/>
    <w:rsid w:val="000B6AF6"/>
    <w:rsid w:val="000B6BA2"/>
    <w:rsid w:val="000B6CE9"/>
    <w:rsid w:val="000C1051"/>
    <w:rsid w:val="000C1F04"/>
    <w:rsid w:val="000C2892"/>
    <w:rsid w:val="000C2B3C"/>
    <w:rsid w:val="000C2F82"/>
    <w:rsid w:val="000C30D7"/>
    <w:rsid w:val="000C3105"/>
    <w:rsid w:val="000C34DD"/>
    <w:rsid w:val="000C37BC"/>
    <w:rsid w:val="000C392F"/>
    <w:rsid w:val="000C482F"/>
    <w:rsid w:val="000C4992"/>
    <w:rsid w:val="000C5299"/>
    <w:rsid w:val="000C5468"/>
    <w:rsid w:val="000C5575"/>
    <w:rsid w:val="000C55CC"/>
    <w:rsid w:val="000C5852"/>
    <w:rsid w:val="000C5D0E"/>
    <w:rsid w:val="000C6A4A"/>
    <w:rsid w:val="000C6AFD"/>
    <w:rsid w:val="000C6FEA"/>
    <w:rsid w:val="000D06FA"/>
    <w:rsid w:val="000D0DDA"/>
    <w:rsid w:val="000D0ED5"/>
    <w:rsid w:val="000D10DC"/>
    <w:rsid w:val="000D113E"/>
    <w:rsid w:val="000D1169"/>
    <w:rsid w:val="000D118F"/>
    <w:rsid w:val="000D1580"/>
    <w:rsid w:val="000D15C5"/>
    <w:rsid w:val="000D1FAB"/>
    <w:rsid w:val="000D28A5"/>
    <w:rsid w:val="000D2C8F"/>
    <w:rsid w:val="000D31C1"/>
    <w:rsid w:val="000D36B2"/>
    <w:rsid w:val="000D39FD"/>
    <w:rsid w:val="000D4833"/>
    <w:rsid w:val="000D49D2"/>
    <w:rsid w:val="000D4A88"/>
    <w:rsid w:val="000D4BBC"/>
    <w:rsid w:val="000D4D90"/>
    <w:rsid w:val="000D4E26"/>
    <w:rsid w:val="000D5176"/>
    <w:rsid w:val="000D5EDB"/>
    <w:rsid w:val="000D667F"/>
    <w:rsid w:val="000D6C0F"/>
    <w:rsid w:val="000D6F1E"/>
    <w:rsid w:val="000D7675"/>
    <w:rsid w:val="000D7A95"/>
    <w:rsid w:val="000D7BBD"/>
    <w:rsid w:val="000E0036"/>
    <w:rsid w:val="000E03C0"/>
    <w:rsid w:val="000E0654"/>
    <w:rsid w:val="000E08EE"/>
    <w:rsid w:val="000E10EE"/>
    <w:rsid w:val="000E1971"/>
    <w:rsid w:val="000E19B3"/>
    <w:rsid w:val="000E1AEE"/>
    <w:rsid w:val="000E2970"/>
    <w:rsid w:val="000E3B67"/>
    <w:rsid w:val="000E3CC1"/>
    <w:rsid w:val="000E4A5F"/>
    <w:rsid w:val="000E5331"/>
    <w:rsid w:val="000E5526"/>
    <w:rsid w:val="000E5537"/>
    <w:rsid w:val="000E563F"/>
    <w:rsid w:val="000E578E"/>
    <w:rsid w:val="000E5D6B"/>
    <w:rsid w:val="000E5FE0"/>
    <w:rsid w:val="000E6D5D"/>
    <w:rsid w:val="000F05D5"/>
    <w:rsid w:val="000F1DEB"/>
    <w:rsid w:val="000F2594"/>
    <w:rsid w:val="000F3292"/>
    <w:rsid w:val="000F3491"/>
    <w:rsid w:val="000F3759"/>
    <w:rsid w:val="000F3DE6"/>
    <w:rsid w:val="000F44E7"/>
    <w:rsid w:val="000F49F1"/>
    <w:rsid w:val="000F4C41"/>
    <w:rsid w:val="000F4FA7"/>
    <w:rsid w:val="000F536A"/>
    <w:rsid w:val="000F541D"/>
    <w:rsid w:val="000F5AD1"/>
    <w:rsid w:val="000F69FA"/>
    <w:rsid w:val="000F7577"/>
    <w:rsid w:val="000F768C"/>
    <w:rsid w:val="000F7974"/>
    <w:rsid w:val="000F7ECD"/>
    <w:rsid w:val="000F7FB5"/>
    <w:rsid w:val="00100317"/>
    <w:rsid w:val="001011EC"/>
    <w:rsid w:val="001015EE"/>
    <w:rsid w:val="001017C1"/>
    <w:rsid w:val="00101AF2"/>
    <w:rsid w:val="00101E92"/>
    <w:rsid w:val="00101F40"/>
    <w:rsid w:val="00103847"/>
    <w:rsid w:val="00103913"/>
    <w:rsid w:val="00103CEB"/>
    <w:rsid w:val="00104413"/>
    <w:rsid w:val="00104DD1"/>
    <w:rsid w:val="00105234"/>
    <w:rsid w:val="0010541E"/>
    <w:rsid w:val="00105CC1"/>
    <w:rsid w:val="00105E2B"/>
    <w:rsid w:val="0010619C"/>
    <w:rsid w:val="0010664D"/>
    <w:rsid w:val="00106C81"/>
    <w:rsid w:val="00106FBF"/>
    <w:rsid w:val="00107D32"/>
    <w:rsid w:val="00110510"/>
    <w:rsid w:val="0011076D"/>
    <w:rsid w:val="00110DB1"/>
    <w:rsid w:val="00110DF0"/>
    <w:rsid w:val="00110E9E"/>
    <w:rsid w:val="001114D0"/>
    <w:rsid w:val="00111703"/>
    <w:rsid w:val="00111AA3"/>
    <w:rsid w:val="00111F29"/>
    <w:rsid w:val="00113348"/>
    <w:rsid w:val="00113398"/>
    <w:rsid w:val="00113404"/>
    <w:rsid w:val="001134B4"/>
    <w:rsid w:val="00113DE8"/>
    <w:rsid w:val="0011424C"/>
    <w:rsid w:val="0011478A"/>
    <w:rsid w:val="00114B56"/>
    <w:rsid w:val="00114B96"/>
    <w:rsid w:val="00114E47"/>
    <w:rsid w:val="00115A20"/>
    <w:rsid w:val="00115AAA"/>
    <w:rsid w:val="00115C05"/>
    <w:rsid w:val="00116188"/>
    <w:rsid w:val="00116647"/>
    <w:rsid w:val="00116F78"/>
    <w:rsid w:val="00116F84"/>
    <w:rsid w:val="001171DA"/>
    <w:rsid w:val="00117377"/>
    <w:rsid w:val="00117904"/>
    <w:rsid w:val="00117D7A"/>
    <w:rsid w:val="00120112"/>
    <w:rsid w:val="00120EA1"/>
    <w:rsid w:val="0012181E"/>
    <w:rsid w:val="00121952"/>
    <w:rsid w:val="00122048"/>
    <w:rsid w:val="001220EE"/>
    <w:rsid w:val="001227D4"/>
    <w:rsid w:val="001228A0"/>
    <w:rsid w:val="0012337F"/>
    <w:rsid w:val="00123EFF"/>
    <w:rsid w:val="0012412E"/>
    <w:rsid w:val="001241F7"/>
    <w:rsid w:val="00124D1A"/>
    <w:rsid w:val="001251AF"/>
    <w:rsid w:val="00125454"/>
    <w:rsid w:val="00125654"/>
    <w:rsid w:val="00125D0D"/>
    <w:rsid w:val="00125D9D"/>
    <w:rsid w:val="001263E8"/>
    <w:rsid w:val="00126950"/>
    <w:rsid w:val="001275CB"/>
    <w:rsid w:val="00127810"/>
    <w:rsid w:val="001301B7"/>
    <w:rsid w:val="001301E6"/>
    <w:rsid w:val="001304F2"/>
    <w:rsid w:val="00130C4C"/>
    <w:rsid w:val="00130CAC"/>
    <w:rsid w:val="00130E9D"/>
    <w:rsid w:val="00131039"/>
    <w:rsid w:val="001313EB"/>
    <w:rsid w:val="0013222E"/>
    <w:rsid w:val="00132EF4"/>
    <w:rsid w:val="00133302"/>
    <w:rsid w:val="00134108"/>
    <w:rsid w:val="00134520"/>
    <w:rsid w:val="00134904"/>
    <w:rsid w:val="001349AB"/>
    <w:rsid w:val="00134F4E"/>
    <w:rsid w:val="00134FB0"/>
    <w:rsid w:val="001350AC"/>
    <w:rsid w:val="001352EC"/>
    <w:rsid w:val="00135E0B"/>
    <w:rsid w:val="001361A8"/>
    <w:rsid w:val="001365A5"/>
    <w:rsid w:val="001368CC"/>
    <w:rsid w:val="00136960"/>
    <w:rsid w:val="001372CA"/>
    <w:rsid w:val="00137AFD"/>
    <w:rsid w:val="0014012A"/>
    <w:rsid w:val="00140AD8"/>
    <w:rsid w:val="00140BE4"/>
    <w:rsid w:val="001411DE"/>
    <w:rsid w:val="00141399"/>
    <w:rsid w:val="00141A0B"/>
    <w:rsid w:val="00141AF4"/>
    <w:rsid w:val="00141D46"/>
    <w:rsid w:val="00142E09"/>
    <w:rsid w:val="0014377B"/>
    <w:rsid w:val="001438A4"/>
    <w:rsid w:val="00143B7E"/>
    <w:rsid w:val="00143D3A"/>
    <w:rsid w:val="001451EA"/>
    <w:rsid w:val="00145A89"/>
    <w:rsid w:val="00145F65"/>
    <w:rsid w:val="00146076"/>
    <w:rsid w:val="001460E0"/>
    <w:rsid w:val="0014679B"/>
    <w:rsid w:val="00146902"/>
    <w:rsid w:val="00146DFA"/>
    <w:rsid w:val="0014709F"/>
    <w:rsid w:val="001478AD"/>
    <w:rsid w:val="0015018D"/>
    <w:rsid w:val="00150228"/>
    <w:rsid w:val="001502C3"/>
    <w:rsid w:val="001504E8"/>
    <w:rsid w:val="00150536"/>
    <w:rsid w:val="001508C9"/>
    <w:rsid w:val="00150FC2"/>
    <w:rsid w:val="001511B4"/>
    <w:rsid w:val="00151C8D"/>
    <w:rsid w:val="001530C2"/>
    <w:rsid w:val="001533B2"/>
    <w:rsid w:val="001534CA"/>
    <w:rsid w:val="0015369A"/>
    <w:rsid w:val="00153831"/>
    <w:rsid w:val="0015386A"/>
    <w:rsid w:val="001540F9"/>
    <w:rsid w:val="001543C5"/>
    <w:rsid w:val="00154E90"/>
    <w:rsid w:val="00155554"/>
    <w:rsid w:val="001557A9"/>
    <w:rsid w:val="00155878"/>
    <w:rsid w:val="0015599D"/>
    <w:rsid w:val="00155A36"/>
    <w:rsid w:val="0015755C"/>
    <w:rsid w:val="001600C9"/>
    <w:rsid w:val="00160308"/>
    <w:rsid w:val="0016052B"/>
    <w:rsid w:val="00160957"/>
    <w:rsid w:val="00160B56"/>
    <w:rsid w:val="0016159C"/>
    <w:rsid w:val="001615E0"/>
    <w:rsid w:val="00161833"/>
    <w:rsid w:val="00161A9C"/>
    <w:rsid w:val="00161E62"/>
    <w:rsid w:val="00162797"/>
    <w:rsid w:val="001628DA"/>
    <w:rsid w:val="00162A20"/>
    <w:rsid w:val="00164CD1"/>
    <w:rsid w:val="001650EC"/>
    <w:rsid w:val="001655BD"/>
    <w:rsid w:val="00165810"/>
    <w:rsid w:val="00165BB5"/>
    <w:rsid w:val="00165E36"/>
    <w:rsid w:val="0016614B"/>
    <w:rsid w:val="001664B5"/>
    <w:rsid w:val="001665FD"/>
    <w:rsid w:val="00166EE8"/>
    <w:rsid w:val="00167A72"/>
    <w:rsid w:val="00167D9D"/>
    <w:rsid w:val="0017080F"/>
    <w:rsid w:val="00170972"/>
    <w:rsid w:val="00170BD4"/>
    <w:rsid w:val="001711E3"/>
    <w:rsid w:val="00171F36"/>
    <w:rsid w:val="00172464"/>
    <w:rsid w:val="0017252A"/>
    <w:rsid w:val="00172600"/>
    <w:rsid w:val="00172614"/>
    <w:rsid w:val="00172AA4"/>
    <w:rsid w:val="0017308E"/>
    <w:rsid w:val="00173309"/>
    <w:rsid w:val="0017357E"/>
    <w:rsid w:val="001735A8"/>
    <w:rsid w:val="00173881"/>
    <w:rsid w:val="001740E5"/>
    <w:rsid w:val="00174587"/>
    <w:rsid w:val="0017474C"/>
    <w:rsid w:val="00174783"/>
    <w:rsid w:val="00175CF4"/>
    <w:rsid w:val="001763FA"/>
    <w:rsid w:val="001763FC"/>
    <w:rsid w:val="00176592"/>
    <w:rsid w:val="00176E7D"/>
    <w:rsid w:val="00177026"/>
    <w:rsid w:val="00177187"/>
    <w:rsid w:val="001773BC"/>
    <w:rsid w:val="00180887"/>
    <w:rsid w:val="00180A83"/>
    <w:rsid w:val="001813AB"/>
    <w:rsid w:val="001819C6"/>
    <w:rsid w:val="00181B78"/>
    <w:rsid w:val="00181DAA"/>
    <w:rsid w:val="0018211C"/>
    <w:rsid w:val="001821F8"/>
    <w:rsid w:val="00182355"/>
    <w:rsid w:val="001826FA"/>
    <w:rsid w:val="00182C9C"/>
    <w:rsid w:val="00182CBE"/>
    <w:rsid w:val="001831B3"/>
    <w:rsid w:val="001831CE"/>
    <w:rsid w:val="00183FAF"/>
    <w:rsid w:val="00184006"/>
    <w:rsid w:val="001845FA"/>
    <w:rsid w:val="0018472B"/>
    <w:rsid w:val="0018522B"/>
    <w:rsid w:val="001854A8"/>
    <w:rsid w:val="00185D40"/>
    <w:rsid w:val="00186C17"/>
    <w:rsid w:val="001874AF"/>
    <w:rsid w:val="00187B1E"/>
    <w:rsid w:val="00187E09"/>
    <w:rsid w:val="00190180"/>
    <w:rsid w:val="00190A43"/>
    <w:rsid w:val="00190D0B"/>
    <w:rsid w:val="001912FB"/>
    <w:rsid w:val="00191608"/>
    <w:rsid w:val="00191664"/>
    <w:rsid w:val="00192065"/>
    <w:rsid w:val="0019382D"/>
    <w:rsid w:val="001938C2"/>
    <w:rsid w:val="00193B7C"/>
    <w:rsid w:val="001941AA"/>
    <w:rsid w:val="00194F73"/>
    <w:rsid w:val="00194F7F"/>
    <w:rsid w:val="00195247"/>
    <w:rsid w:val="00195EC2"/>
    <w:rsid w:val="00195F99"/>
    <w:rsid w:val="001968DA"/>
    <w:rsid w:val="0019785C"/>
    <w:rsid w:val="001A016C"/>
    <w:rsid w:val="001A0422"/>
    <w:rsid w:val="001A0556"/>
    <w:rsid w:val="001A07AE"/>
    <w:rsid w:val="001A102F"/>
    <w:rsid w:val="001A1A27"/>
    <w:rsid w:val="001A1ED0"/>
    <w:rsid w:val="001A1F0A"/>
    <w:rsid w:val="001A30A1"/>
    <w:rsid w:val="001A3210"/>
    <w:rsid w:val="001A35A6"/>
    <w:rsid w:val="001A368A"/>
    <w:rsid w:val="001A3963"/>
    <w:rsid w:val="001A3B93"/>
    <w:rsid w:val="001A3C5C"/>
    <w:rsid w:val="001A41DF"/>
    <w:rsid w:val="001A43F5"/>
    <w:rsid w:val="001A4E0E"/>
    <w:rsid w:val="001A4E8C"/>
    <w:rsid w:val="001A4EF7"/>
    <w:rsid w:val="001A4F6E"/>
    <w:rsid w:val="001A523A"/>
    <w:rsid w:val="001A5ABD"/>
    <w:rsid w:val="001A5CE0"/>
    <w:rsid w:val="001A5D83"/>
    <w:rsid w:val="001A60E2"/>
    <w:rsid w:val="001A62B0"/>
    <w:rsid w:val="001A67BC"/>
    <w:rsid w:val="001A69F0"/>
    <w:rsid w:val="001A79AA"/>
    <w:rsid w:val="001A7F95"/>
    <w:rsid w:val="001B0326"/>
    <w:rsid w:val="001B07B0"/>
    <w:rsid w:val="001B0992"/>
    <w:rsid w:val="001B0AC4"/>
    <w:rsid w:val="001B1120"/>
    <w:rsid w:val="001B1164"/>
    <w:rsid w:val="001B15E2"/>
    <w:rsid w:val="001B163A"/>
    <w:rsid w:val="001B253D"/>
    <w:rsid w:val="001B277C"/>
    <w:rsid w:val="001B2C6A"/>
    <w:rsid w:val="001B2F19"/>
    <w:rsid w:val="001B3280"/>
    <w:rsid w:val="001B356F"/>
    <w:rsid w:val="001B35ED"/>
    <w:rsid w:val="001B362C"/>
    <w:rsid w:val="001B369D"/>
    <w:rsid w:val="001B450E"/>
    <w:rsid w:val="001B46DB"/>
    <w:rsid w:val="001B4785"/>
    <w:rsid w:val="001B4F75"/>
    <w:rsid w:val="001B5070"/>
    <w:rsid w:val="001B5DDB"/>
    <w:rsid w:val="001B62D3"/>
    <w:rsid w:val="001B6FC9"/>
    <w:rsid w:val="001B74F4"/>
    <w:rsid w:val="001B75DC"/>
    <w:rsid w:val="001B7C66"/>
    <w:rsid w:val="001C0136"/>
    <w:rsid w:val="001C0A6E"/>
    <w:rsid w:val="001C0AD1"/>
    <w:rsid w:val="001C0BCC"/>
    <w:rsid w:val="001C0D26"/>
    <w:rsid w:val="001C0D9E"/>
    <w:rsid w:val="001C117D"/>
    <w:rsid w:val="001C144C"/>
    <w:rsid w:val="001C1F9C"/>
    <w:rsid w:val="001C226A"/>
    <w:rsid w:val="001C236E"/>
    <w:rsid w:val="001C29E7"/>
    <w:rsid w:val="001C31A2"/>
    <w:rsid w:val="001C32C6"/>
    <w:rsid w:val="001C3322"/>
    <w:rsid w:val="001C3E2D"/>
    <w:rsid w:val="001C404F"/>
    <w:rsid w:val="001C48C7"/>
    <w:rsid w:val="001C4A9E"/>
    <w:rsid w:val="001C5DAD"/>
    <w:rsid w:val="001C646C"/>
    <w:rsid w:val="001C6CAB"/>
    <w:rsid w:val="001C6CC1"/>
    <w:rsid w:val="001C7130"/>
    <w:rsid w:val="001C753D"/>
    <w:rsid w:val="001C76E5"/>
    <w:rsid w:val="001C7B34"/>
    <w:rsid w:val="001C7E70"/>
    <w:rsid w:val="001D0068"/>
    <w:rsid w:val="001D01C6"/>
    <w:rsid w:val="001D092F"/>
    <w:rsid w:val="001D1079"/>
    <w:rsid w:val="001D1AEF"/>
    <w:rsid w:val="001D244E"/>
    <w:rsid w:val="001D24F1"/>
    <w:rsid w:val="001D2736"/>
    <w:rsid w:val="001D31D4"/>
    <w:rsid w:val="001D3AD1"/>
    <w:rsid w:val="001D3BA0"/>
    <w:rsid w:val="001D478B"/>
    <w:rsid w:val="001D4970"/>
    <w:rsid w:val="001D5D29"/>
    <w:rsid w:val="001D5F02"/>
    <w:rsid w:val="001D6186"/>
    <w:rsid w:val="001D62AF"/>
    <w:rsid w:val="001D637E"/>
    <w:rsid w:val="001D6601"/>
    <w:rsid w:val="001D6652"/>
    <w:rsid w:val="001D69E5"/>
    <w:rsid w:val="001D6B3D"/>
    <w:rsid w:val="001D7104"/>
    <w:rsid w:val="001E0490"/>
    <w:rsid w:val="001E075F"/>
    <w:rsid w:val="001E0933"/>
    <w:rsid w:val="001E14E8"/>
    <w:rsid w:val="001E1627"/>
    <w:rsid w:val="001E18BD"/>
    <w:rsid w:val="001E1DBA"/>
    <w:rsid w:val="001E1EF2"/>
    <w:rsid w:val="001E236B"/>
    <w:rsid w:val="001E25E6"/>
    <w:rsid w:val="001E290B"/>
    <w:rsid w:val="001E385F"/>
    <w:rsid w:val="001E39E4"/>
    <w:rsid w:val="001E3B01"/>
    <w:rsid w:val="001E3D8F"/>
    <w:rsid w:val="001E4479"/>
    <w:rsid w:val="001E490C"/>
    <w:rsid w:val="001E4C68"/>
    <w:rsid w:val="001E500C"/>
    <w:rsid w:val="001E5014"/>
    <w:rsid w:val="001E50FD"/>
    <w:rsid w:val="001E5310"/>
    <w:rsid w:val="001E59DC"/>
    <w:rsid w:val="001E5DD7"/>
    <w:rsid w:val="001E5EEE"/>
    <w:rsid w:val="001E6AF6"/>
    <w:rsid w:val="001E6F93"/>
    <w:rsid w:val="001E7358"/>
    <w:rsid w:val="001E7A3D"/>
    <w:rsid w:val="001E7B4A"/>
    <w:rsid w:val="001E7C72"/>
    <w:rsid w:val="001E7EDD"/>
    <w:rsid w:val="001F02CD"/>
    <w:rsid w:val="001F0B7F"/>
    <w:rsid w:val="001F0CD0"/>
    <w:rsid w:val="001F0F71"/>
    <w:rsid w:val="001F132E"/>
    <w:rsid w:val="001F1433"/>
    <w:rsid w:val="001F19D1"/>
    <w:rsid w:val="001F1B69"/>
    <w:rsid w:val="001F1D9A"/>
    <w:rsid w:val="001F210B"/>
    <w:rsid w:val="001F25AC"/>
    <w:rsid w:val="001F2740"/>
    <w:rsid w:val="001F27E9"/>
    <w:rsid w:val="001F2C3A"/>
    <w:rsid w:val="001F3142"/>
    <w:rsid w:val="001F349E"/>
    <w:rsid w:val="001F3531"/>
    <w:rsid w:val="001F3696"/>
    <w:rsid w:val="001F3DB7"/>
    <w:rsid w:val="001F42FF"/>
    <w:rsid w:val="001F44B4"/>
    <w:rsid w:val="001F44D3"/>
    <w:rsid w:val="001F4510"/>
    <w:rsid w:val="001F58D3"/>
    <w:rsid w:val="001F5EF5"/>
    <w:rsid w:val="001F6165"/>
    <w:rsid w:val="001F65A4"/>
    <w:rsid w:val="001F65E0"/>
    <w:rsid w:val="001F6EE3"/>
    <w:rsid w:val="001F7362"/>
    <w:rsid w:val="001F7AE9"/>
    <w:rsid w:val="001F7CFD"/>
    <w:rsid w:val="0020091B"/>
    <w:rsid w:val="002011D5"/>
    <w:rsid w:val="00201702"/>
    <w:rsid w:val="00201C2D"/>
    <w:rsid w:val="002022A4"/>
    <w:rsid w:val="00202899"/>
    <w:rsid w:val="00202BEA"/>
    <w:rsid w:val="00203244"/>
    <w:rsid w:val="00203367"/>
    <w:rsid w:val="00203433"/>
    <w:rsid w:val="002037E9"/>
    <w:rsid w:val="002040C1"/>
    <w:rsid w:val="00204438"/>
    <w:rsid w:val="00204A44"/>
    <w:rsid w:val="00205B63"/>
    <w:rsid w:val="00205C32"/>
    <w:rsid w:val="00206147"/>
    <w:rsid w:val="002064F3"/>
    <w:rsid w:val="002069A8"/>
    <w:rsid w:val="00206C6D"/>
    <w:rsid w:val="00206EE7"/>
    <w:rsid w:val="0020789A"/>
    <w:rsid w:val="00207C83"/>
    <w:rsid w:val="00210869"/>
    <w:rsid w:val="002113F3"/>
    <w:rsid w:val="002116AD"/>
    <w:rsid w:val="00211960"/>
    <w:rsid w:val="00211999"/>
    <w:rsid w:val="002123A4"/>
    <w:rsid w:val="00212421"/>
    <w:rsid w:val="002126CD"/>
    <w:rsid w:val="00213773"/>
    <w:rsid w:val="00213B0E"/>
    <w:rsid w:val="00213CBC"/>
    <w:rsid w:val="002141FB"/>
    <w:rsid w:val="002146CA"/>
    <w:rsid w:val="002147D6"/>
    <w:rsid w:val="00214EAE"/>
    <w:rsid w:val="00214EBE"/>
    <w:rsid w:val="00215639"/>
    <w:rsid w:val="0021575B"/>
    <w:rsid w:val="00215783"/>
    <w:rsid w:val="0021669B"/>
    <w:rsid w:val="00216876"/>
    <w:rsid w:val="0021691E"/>
    <w:rsid w:val="00216A0F"/>
    <w:rsid w:val="00217051"/>
    <w:rsid w:val="0022018A"/>
    <w:rsid w:val="00220ADA"/>
    <w:rsid w:val="00220B7B"/>
    <w:rsid w:val="0022180E"/>
    <w:rsid w:val="002220BA"/>
    <w:rsid w:val="00222324"/>
    <w:rsid w:val="00222514"/>
    <w:rsid w:val="002227B3"/>
    <w:rsid w:val="00222CE3"/>
    <w:rsid w:val="002235D7"/>
    <w:rsid w:val="00223804"/>
    <w:rsid w:val="00223920"/>
    <w:rsid w:val="002239C4"/>
    <w:rsid w:val="00223E3F"/>
    <w:rsid w:val="00224617"/>
    <w:rsid w:val="00224A5C"/>
    <w:rsid w:val="00225119"/>
    <w:rsid w:val="00225591"/>
    <w:rsid w:val="00225690"/>
    <w:rsid w:val="0022574F"/>
    <w:rsid w:val="0022593A"/>
    <w:rsid w:val="0022595A"/>
    <w:rsid w:val="00225B52"/>
    <w:rsid w:val="00225CE3"/>
    <w:rsid w:val="002260D7"/>
    <w:rsid w:val="00226B17"/>
    <w:rsid w:val="00226D53"/>
    <w:rsid w:val="0022712B"/>
    <w:rsid w:val="00227430"/>
    <w:rsid w:val="002276A4"/>
    <w:rsid w:val="00227843"/>
    <w:rsid w:val="00227A99"/>
    <w:rsid w:val="00227C8B"/>
    <w:rsid w:val="0023069D"/>
    <w:rsid w:val="00230A44"/>
    <w:rsid w:val="00230A52"/>
    <w:rsid w:val="00230FA5"/>
    <w:rsid w:val="00231131"/>
    <w:rsid w:val="0023170E"/>
    <w:rsid w:val="00231760"/>
    <w:rsid w:val="00231839"/>
    <w:rsid w:val="0023262B"/>
    <w:rsid w:val="00232A4E"/>
    <w:rsid w:val="00232E5B"/>
    <w:rsid w:val="00233A7D"/>
    <w:rsid w:val="0023482B"/>
    <w:rsid w:val="0023482C"/>
    <w:rsid w:val="00234AA4"/>
    <w:rsid w:val="00234C7F"/>
    <w:rsid w:val="00234E62"/>
    <w:rsid w:val="00234F8F"/>
    <w:rsid w:val="002356FB"/>
    <w:rsid w:val="00235A26"/>
    <w:rsid w:val="0023658F"/>
    <w:rsid w:val="00236702"/>
    <w:rsid w:val="00236872"/>
    <w:rsid w:val="00236890"/>
    <w:rsid w:val="002368C0"/>
    <w:rsid w:val="00236CC2"/>
    <w:rsid w:val="00236CDE"/>
    <w:rsid w:val="002373F0"/>
    <w:rsid w:val="0023763A"/>
    <w:rsid w:val="00237D40"/>
    <w:rsid w:val="00237D7D"/>
    <w:rsid w:val="00237F57"/>
    <w:rsid w:val="002404D1"/>
    <w:rsid w:val="002405C8"/>
    <w:rsid w:val="00240ECB"/>
    <w:rsid w:val="002415DA"/>
    <w:rsid w:val="00241857"/>
    <w:rsid w:val="0024209F"/>
    <w:rsid w:val="0024285E"/>
    <w:rsid w:val="00242BE0"/>
    <w:rsid w:val="00242F79"/>
    <w:rsid w:val="00242FA8"/>
    <w:rsid w:val="0024310E"/>
    <w:rsid w:val="00243204"/>
    <w:rsid w:val="00243AC5"/>
    <w:rsid w:val="0024405D"/>
    <w:rsid w:val="00244516"/>
    <w:rsid w:val="00244CF8"/>
    <w:rsid w:val="00245041"/>
    <w:rsid w:val="002454F0"/>
    <w:rsid w:val="00245B34"/>
    <w:rsid w:val="00245B9E"/>
    <w:rsid w:val="00245D59"/>
    <w:rsid w:val="002465AC"/>
    <w:rsid w:val="002465EC"/>
    <w:rsid w:val="00246614"/>
    <w:rsid w:val="00246907"/>
    <w:rsid w:val="00246C0E"/>
    <w:rsid w:val="00246EC9"/>
    <w:rsid w:val="00246FE9"/>
    <w:rsid w:val="00247130"/>
    <w:rsid w:val="0024723E"/>
    <w:rsid w:val="00247258"/>
    <w:rsid w:val="00247760"/>
    <w:rsid w:val="00247AA6"/>
    <w:rsid w:val="00247AE2"/>
    <w:rsid w:val="00247E6F"/>
    <w:rsid w:val="00247FD9"/>
    <w:rsid w:val="0025003A"/>
    <w:rsid w:val="00250260"/>
    <w:rsid w:val="00250FD5"/>
    <w:rsid w:val="00251167"/>
    <w:rsid w:val="002511BA"/>
    <w:rsid w:val="00251769"/>
    <w:rsid w:val="002526B9"/>
    <w:rsid w:val="00252B6A"/>
    <w:rsid w:val="00252DD3"/>
    <w:rsid w:val="002530DC"/>
    <w:rsid w:val="0025394F"/>
    <w:rsid w:val="00253958"/>
    <w:rsid w:val="00253B97"/>
    <w:rsid w:val="00254102"/>
    <w:rsid w:val="002544CB"/>
    <w:rsid w:val="00254724"/>
    <w:rsid w:val="00255D8E"/>
    <w:rsid w:val="00256584"/>
    <w:rsid w:val="00256C48"/>
    <w:rsid w:val="00256EF8"/>
    <w:rsid w:val="002570D5"/>
    <w:rsid w:val="00257177"/>
    <w:rsid w:val="00257730"/>
    <w:rsid w:val="00257803"/>
    <w:rsid w:val="00257B74"/>
    <w:rsid w:val="00257CD8"/>
    <w:rsid w:val="00257DBC"/>
    <w:rsid w:val="0026051A"/>
    <w:rsid w:val="00260E84"/>
    <w:rsid w:val="002610D8"/>
    <w:rsid w:val="00261417"/>
    <w:rsid w:val="00261A6C"/>
    <w:rsid w:val="00262641"/>
    <w:rsid w:val="002629E2"/>
    <w:rsid w:val="00262BA8"/>
    <w:rsid w:val="00262BC8"/>
    <w:rsid w:val="00262F37"/>
    <w:rsid w:val="002638B3"/>
    <w:rsid w:val="002641D9"/>
    <w:rsid w:val="002643C5"/>
    <w:rsid w:val="00264917"/>
    <w:rsid w:val="002651EC"/>
    <w:rsid w:val="00265A4F"/>
    <w:rsid w:val="00265DC2"/>
    <w:rsid w:val="00265E73"/>
    <w:rsid w:val="0026629F"/>
    <w:rsid w:val="0026638C"/>
    <w:rsid w:val="00266C11"/>
    <w:rsid w:val="00266F00"/>
    <w:rsid w:val="002670D8"/>
    <w:rsid w:val="002670EF"/>
    <w:rsid w:val="002671A2"/>
    <w:rsid w:val="00267949"/>
    <w:rsid w:val="00267A38"/>
    <w:rsid w:val="00267F5F"/>
    <w:rsid w:val="00270965"/>
    <w:rsid w:val="00270F70"/>
    <w:rsid w:val="00271E5D"/>
    <w:rsid w:val="00272082"/>
    <w:rsid w:val="0027349D"/>
    <w:rsid w:val="00273516"/>
    <w:rsid w:val="00273985"/>
    <w:rsid w:val="00273B82"/>
    <w:rsid w:val="00273D07"/>
    <w:rsid w:val="00273E7A"/>
    <w:rsid w:val="00274372"/>
    <w:rsid w:val="00274606"/>
    <w:rsid w:val="0027475A"/>
    <w:rsid w:val="00275F56"/>
    <w:rsid w:val="002765B7"/>
    <w:rsid w:val="00276EAA"/>
    <w:rsid w:val="00277713"/>
    <w:rsid w:val="00277BAB"/>
    <w:rsid w:val="00277DBC"/>
    <w:rsid w:val="00277F64"/>
    <w:rsid w:val="00280550"/>
    <w:rsid w:val="00280FD2"/>
    <w:rsid w:val="00281063"/>
    <w:rsid w:val="00281676"/>
    <w:rsid w:val="00281E32"/>
    <w:rsid w:val="00282479"/>
    <w:rsid w:val="00282531"/>
    <w:rsid w:val="0028276E"/>
    <w:rsid w:val="002827F3"/>
    <w:rsid w:val="002829BD"/>
    <w:rsid w:val="00282B3E"/>
    <w:rsid w:val="00282C1F"/>
    <w:rsid w:val="00282C6C"/>
    <w:rsid w:val="00283124"/>
    <w:rsid w:val="00283487"/>
    <w:rsid w:val="00283B7F"/>
    <w:rsid w:val="002845D6"/>
    <w:rsid w:val="0028468D"/>
    <w:rsid w:val="0028470C"/>
    <w:rsid w:val="00284AE9"/>
    <w:rsid w:val="00284B5F"/>
    <w:rsid w:val="0028554B"/>
    <w:rsid w:val="0028596B"/>
    <w:rsid w:val="00285FB9"/>
    <w:rsid w:val="00286219"/>
    <w:rsid w:val="00286A03"/>
    <w:rsid w:val="00286A2A"/>
    <w:rsid w:val="00287514"/>
    <w:rsid w:val="0028791B"/>
    <w:rsid w:val="00287E44"/>
    <w:rsid w:val="00287F79"/>
    <w:rsid w:val="002900A9"/>
    <w:rsid w:val="00290C43"/>
    <w:rsid w:val="00290C90"/>
    <w:rsid w:val="002916DB"/>
    <w:rsid w:val="0029170A"/>
    <w:rsid w:val="0029190A"/>
    <w:rsid w:val="00293271"/>
    <w:rsid w:val="00293302"/>
    <w:rsid w:val="00293587"/>
    <w:rsid w:val="00293896"/>
    <w:rsid w:val="00293ED1"/>
    <w:rsid w:val="00294A06"/>
    <w:rsid w:val="00294FFB"/>
    <w:rsid w:val="002954FD"/>
    <w:rsid w:val="00296242"/>
    <w:rsid w:val="00296CE6"/>
    <w:rsid w:val="00296D73"/>
    <w:rsid w:val="002973DF"/>
    <w:rsid w:val="002976DE"/>
    <w:rsid w:val="00297D6A"/>
    <w:rsid w:val="00297F87"/>
    <w:rsid w:val="002A0190"/>
    <w:rsid w:val="002A0983"/>
    <w:rsid w:val="002A0BF5"/>
    <w:rsid w:val="002A1128"/>
    <w:rsid w:val="002A145E"/>
    <w:rsid w:val="002A158C"/>
    <w:rsid w:val="002A171A"/>
    <w:rsid w:val="002A1A8C"/>
    <w:rsid w:val="002A1BC2"/>
    <w:rsid w:val="002A24EB"/>
    <w:rsid w:val="002A2C5E"/>
    <w:rsid w:val="002A2D66"/>
    <w:rsid w:val="002A2E09"/>
    <w:rsid w:val="002A329F"/>
    <w:rsid w:val="002A402C"/>
    <w:rsid w:val="002A4072"/>
    <w:rsid w:val="002A428E"/>
    <w:rsid w:val="002A46FA"/>
    <w:rsid w:val="002A5227"/>
    <w:rsid w:val="002A57BC"/>
    <w:rsid w:val="002A581C"/>
    <w:rsid w:val="002A628C"/>
    <w:rsid w:val="002A6A17"/>
    <w:rsid w:val="002A7D6E"/>
    <w:rsid w:val="002B00FE"/>
    <w:rsid w:val="002B0A6D"/>
    <w:rsid w:val="002B0E27"/>
    <w:rsid w:val="002B10B6"/>
    <w:rsid w:val="002B10D3"/>
    <w:rsid w:val="002B1113"/>
    <w:rsid w:val="002B1867"/>
    <w:rsid w:val="002B1EA3"/>
    <w:rsid w:val="002B1EC9"/>
    <w:rsid w:val="002B2528"/>
    <w:rsid w:val="002B2A55"/>
    <w:rsid w:val="002B2DA9"/>
    <w:rsid w:val="002B2F3E"/>
    <w:rsid w:val="002B30C8"/>
    <w:rsid w:val="002B31FA"/>
    <w:rsid w:val="002B336D"/>
    <w:rsid w:val="002B33D5"/>
    <w:rsid w:val="002B395B"/>
    <w:rsid w:val="002B3A06"/>
    <w:rsid w:val="002B3B87"/>
    <w:rsid w:val="002B3DF5"/>
    <w:rsid w:val="002B3E76"/>
    <w:rsid w:val="002B421F"/>
    <w:rsid w:val="002B4552"/>
    <w:rsid w:val="002B47CE"/>
    <w:rsid w:val="002B4C84"/>
    <w:rsid w:val="002B5746"/>
    <w:rsid w:val="002B63D3"/>
    <w:rsid w:val="002B64D1"/>
    <w:rsid w:val="002B6681"/>
    <w:rsid w:val="002B6815"/>
    <w:rsid w:val="002B6AB1"/>
    <w:rsid w:val="002B71D1"/>
    <w:rsid w:val="002B7E8F"/>
    <w:rsid w:val="002B7EB1"/>
    <w:rsid w:val="002C0144"/>
    <w:rsid w:val="002C0CAC"/>
    <w:rsid w:val="002C1BCA"/>
    <w:rsid w:val="002C1F28"/>
    <w:rsid w:val="002C2229"/>
    <w:rsid w:val="002C23F1"/>
    <w:rsid w:val="002C254B"/>
    <w:rsid w:val="002C25DE"/>
    <w:rsid w:val="002C27E8"/>
    <w:rsid w:val="002C2844"/>
    <w:rsid w:val="002C2ACB"/>
    <w:rsid w:val="002C2F60"/>
    <w:rsid w:val="002C3031"/>
    <w:rsid w:val="002C41CB"/>
    <w:rsid w:val="002C4459"/>
    <w:rsid w:val="002C5C58"/>
    <w:rsid w:val="002C6A1A"/>
    <w:rsid w:val="002C6B67"/>
    <w:rsid w:val="002C6FE3"/>
    <w:rsid w:val="002C73EE"/>
    <w:rsid w:val="002C75F2"/>
    <w:rsid w:val="002C7660"/>
    <w:rsid w:val="002C7718"/>
    <w:rsid w:val="002C77DB"/>
    <w:rsid w:val="002C77F7"/>
    <w:rsid w:val="002C7CD4"/>
    <w:rsid w:val="002D0321"/>
    <w:rsid w:val="002D090E"/>
    <w:rsid w:val="002D0E7A"/>
    <w:rsid w:val="002D155B"/>
    <w:rsid w:val="002D1AD3"/>
    <w:rsid w:val="002D28A4"/>
    <w:rsid w:val="002D40A5"/>
    <w:rsid w:val="002D4583"/>
    <w:rsid w:val="002D4680"/>
    <w:rsid w:val="002D4831"/>
    <w:rsid w:val="002D48E1"/>
    <w:rsid w:val="002D5F11"/>
    <w:rsid w:val="002D61C8"/>
    <w:rsid w:val="002D629E"/>
    <w:rsid w:val="002D6E9A"/>
    <w:rsid w:val="002D726B"/>
    <w:rsid w:val="002D75DB"/>
    <w:rsid w:val="002D79AD"/>
    <w:rsid w:val="002E0067"/>
    <w:rsid w:val="002E02D0"/>
    <w:rsid w:val="002E0489"/>
    <w:rsid w:val="002E04C0"/>
    <w:rsid w:val="002E0544"/>
    <w:rsid w:val="002E1B44"/>
    <w:rsid w:val="002E1D3C"/>
    <w:rsid w:val="002E1DF4"/>
    <w:rsid w:val="002E2C3B"/>
    <w:rsid w:val="002E3C37"/>
    <w:rsid w:val="002E445E"/>
    <w:rsid w:val="002E4BA7"/>
    <w:rsid w:val="002E4D3D"/>
    <w:rsid w:val="002E59C3"/>
    <w:rsid w:val="002E5CA7"/>
    <w:rsid w:val="002E6042"/>
    <w:rsid w:val="002E668B"/>
    <w:rsid w:val="002E6CB6"/>
    <w:rsid w:val="002E7235"/>
    <w:rsid w:val="002E7DC9"/>
    <w:rsid w:val="002E7DEA"/>
    <w:rsid w:val="002E7EB3"/>
    <w:rsid w:val="002F0276"/>
    <w:rsid w:val="002F078B"/>
    <w:rsid w:val="002F10E7"/>
    <w:rsid w:val="002F11F9"/>
    <w:rsid w:val="002F1274"/>
    <w:rsid w:val="002F13E0"/>
    <w:rsid w:val="002F16CB"/>
    <w:rsid w:val="002F1742"/>
    <w:rsid w:val="002F1AB0"/>
    <w:rsid w:val="002F1C33"/>
    <w:rsid w:val="002F2904"/>
    <w:rsid w:val="002F3529"/>
    <w:rsid w:val="002F3C64"/>
    <w:rsid w:val="002F3EFA"/>
    <w:rsid w:val="002F4431"/>
    <w:rsid w:val="002F45F6"/>
    <w:rsid w:val="002F47E7"/>
    <w:rsid w:val="002F510D"/>
    <w:rsid w:val="002F5257"/>
    <w:rsid w:val="002F5539"/>
    <w:rsid w:val="002F5F61"/>
    <w:rsid w:val="002F6382"/>
    <w:rsid w:val="002F671D"/>
    <w:rsid w:val="002F7667"/>
    <w:rsid w:val="002F7F8C"/>
    <w:rsid w:val="00300081"/>
    <w:rsid w:val="0030023E"/>
    <w:rsid w:val="00300272"/>
    <w:rsid w:val="0030059B"/>
    <w:rsid w:val="00300FC5"/>
    <w:rsid w:val="00301277"/>
    <w:rsid w:val="00301837"/>
    <w:rsid w:val="003019CD"/>
    <w:rsid w:val="00302184"/>
    <w:rsid w:val="00302E61"/>
    <w:rsid w:val="00303072"/>
    <w:rsid w:val="0030341B"/>
    <w:rsid w:val="003034D2"/>
    <w:rsid w:val="0030373E"/>
    <w:rsid w:val="00303A1B"/>
    <w:rsid w:val="00303AC4"/>
    <w:rsid w:val="003045BE"/>
    <w:rsid w:val="00304BEC"/>
    <w:rsid w:val="00305015"/>
    <w:rsid w:val="003055A3"/>
    <w:rsid w:val="00305A2B"/>
    <w:rsid w:val="00305DBA"/>
    <w:rsid w:val="00305E82"/>
    <w:rsid w:val="00305F53"/>
    <w:rsid w:val="003060F3"/>
    <w:rsid w:val="0030612A"/>
    <w:rsid w:val="00306268"/>
    <w:rsid w:val="003068EC"/>
    <w:rsid w:val="00306C01"/>
    <w:rsid w:val="0030759B"/>
    <w:rsid w:val="003076C4"/>
    <w:rsid w:val="003079A6"/>
    <w:rsid w:val="00307DED"/>
    <w:rsid w:val="0031042B"/>
    <w:rsid w:val="003105CC"/>
    <w:rsid w:val="003106C8"/>
    <w:rsid w:val="00310E3F"/>
    <w:rsid w:val="00311270"/>
    <w:rsid w:val="0031159D"/>
    <w:rsid w:val="0031175D"/>
    <w:rsid w:val="003119DD"/>
    <w:rsid w:val="00312297"/>
    <w:rsid w:val="00313367"/>
    <w:rsid w:val="0031354F"/>
    <w:rsid w:val="00313B3F"/>
    <w:rsid w:val="00313E1B"/>
    <w:rsid w:val="00314614"/>
    <w:rsid w:val="00314739"/>
    <w:rsid w:val="00314773"/>
    <w:rsid w:val="00314EE2"/>
    <w:rsid w:val="00314F8A"/>
    <w:rsid w:val="003151F3"/>
    <w:rsid w:val="00315270"/>
    <w:rsid w:val="003152FA"/>
    <w:rsid w:val="003154DB"/>
    <w:rsid w:val="003158C1"/>
    <w:rsid w:val="00316779"/>
    <w:rsid w:val="00316E35"/>
    <w:rsid w:val="00317DA5"/>
    <w:rsid w:val="003201D0"/>
    <w:rsid w:val="00320489"/>
    <w:rsid w:val="00320537"/>
    <w:rsid w:val="003205E0"/>
    <w:rsid w:val="00320602"/>
    <w:rsid w:val="00321386"/>
    <w:rsid w:val="00321788"/>
    <w:rsid w:val="00321848"/>
    <w:rsid w:val="00321CA9"/>
    <w:rsid w:val="00321CB3"/>
    <w:rsid w:val="00322133"/>
    <w:rsid w:val="00322341"/>
    <w:rsid w:val="00322DA3"/>
    <w:rsid w:val="0032345B"/>
    <w:rsid w:val="003235FE"/>
    <w:rsid w:val="00323C18"/>
    <w:rsid w:val="00323EEE"/>
    <w:rsid w:val="003242F4"/>
    <w:rsid w:val="00324CCE"/>
    <w:rsid w:val="00324EA1"/>
    <w:rsid w:val="00324FF5"/>
    <w:rsid w:val="00325081"/>
    <w:rsid w:val="003256A0"/>
    <w:rsid w:val="0032572B"/>
    <w:rsid w:val="00325957"/>
    <w:rsid w:val="003265DE"/>
    <w:rsid w:val="00326A08"/>
    <w:rsid w:val="003275D6"/>
    <w:rsid w:val="0032767E"/>
    <w:rsid w:val="003277C6"/>
    <w:rsid w:val="00327845"/>
    <w:rsid w:val="00327B0E"/>
    <w:rsid w:val="003302CF"/>
    <w:rsid w:val="00330494"/>
    <w:rsid w:val="00330559"/>
    <w:rsid w:val="00330B86"/>
    <w:rsid w:val="00330DB5"/>
    <w:rsid w:val="00331170"/>
    <w:rsid w:val="00331173"/>
    <w:rsid w:val="00331306"/>
    <w:rsid w:val="00331659"/>
    <w:rsid w:val="003318D0"/>
    <w:rsid w:val="003319C5"/>
    <w:rsid w:val="00331A58"/>
    <w:rsid w:val="00331DFB"/>
    <w:rsid w:val="003320F9"/>
    <w:rsid w:val="0033233B"/>
    <w:rsid w:val="003327BD"/>
    <w:rsid w:val="003338EB"/>
    <w:rsid w:val="00334446"/>
    <w:rsid w:val="0033444C"/>
    <w:rsid w:val="00334725"/>
    <w:rsid w:val="00334A38"/>
    <w:rsid w:val="00334AF1"/>
    <w:rsid w:val="00334BA6"/>
    <w:rsid w:val="003353D5"/>
    <w:rsid w:val="00335598"/>
    <w:rsid w:val="00335A53"/>
    <w:rsid w:val="00335A90"/>
    <w:rsid w:val="0033771E"/>
    <w:rsid w:val="003379A4"/>
    <w:rsid w:val="00337BB0"/>
    <w:rsid w:val="00337CB6"/>
    <w:rsid w:val="003403AE"/>
    <w:rsid w:val="003409BD"/>
    <w:rsid w:val="0034111B"/>
    <w:rsid w:val="003417E9"/>
    <w:rsid w:val="003421C3"/>
    <w:rsid w:val="00342559"/>
    <w:rsid w:val="00342C11"/>
    <w:rsid w:val="00342D1A"/>
    <w:rsid w:val="0034339B"/>
    <w:rsid w:val="00343860"/>
    <w:rsid w:val="00343AB5"/>
    <w:rsid w:val="0034443F"/>
    <w:rsid w:val="00344CEF"/>
    <w:rsid w:val="00344F44"/>
    <w:rsid w:val="0034511C"/>
    <w:rsid w:val="00345191"/>
    <w:rsid w:val="0034550A"/>
    <w:rsid w:val="00345B7B"/>
    <w:rsid w:val="0034620C"/>
    <w:rsid w:val="00346579"/>
    <w:rsid w:val="00346C50"/>
    <w:rsid w:val="003474B3"/>
    <w:rsid w:val="00347764"/>
    <w:rsid w:val="00347A1B"/>
    <w:rsid w:val="00347CA3"/>
    <w:rsid w:val="00347F9F"/>
    <w:rsid w:val="0035075C"/>
    <w:rsid w:val="00350A2E"/>
    <w:rsid w:val="00351032"/>
    <w:rsid w:val="0035149A"/>
    <w:rsid w:val="00351668"/>
    <w:rsid w:val="0035253F"/>
    <w:rsid w:val="00352775"/>
    <w:rsid w:val="00352F14"/>
    <w:rsid w:val="003530B3"/>
    <w:rsid w:val="003537FD"/>
    <w:rsid w:val="00354779"/>
    <w:rsid w:val="003550DE"/>
    <w:rsid w:val="00355320"/>
    <w:rsid w:val="0035546F"/>
    <w:rsid w:val="003554BD"/>
    <w:rsid w:val="003554CE"/>
    <w:rsid w:val="00355665"/>
    <w:rsid w:val="00355BF0"/>
    <w:rsid w:val="00355E2D"/>
    <w:rsid w:val="00356586"/>
    <w:rsid w:val="00356792"/>
    <w:rsid w:val="003571E2"/>
    <w:rsid w:val="0036080D"/>
    <w:rsid w:val="00360956"/>
    <w:rsid w:val="00360A82"/>
    <w:rsid w:val="00360BD9"/>
    <w:rsid w:val="00361062"/>
    <w:rsid w:val="003610F5"/>
    <w:rsid w:val="00361281"/>
    <w:rsid w:val="003616F4"/>
    <w:rsid w:val="00361A4D"/>
    <w:rsid w:val="00361B6D"/>
    <w:rsid w:val="00362B5E"/>
    <w:rsid w:val="003638E9"/>
    <w:rsid w:val="003643A5"/>
    <w:rsid w:val="00364D97"/>
    <w:rsid w:val="00365309"/>
    <w:rsid w:val="0036533F"/>
    <w:rsid w:val="00365370"/>
    <w:rsid w:val="003661C9"/>
    <w:rsid w:val="0036693A"/>
    <w:rsid w:val="00366AFA"/>
    <w:rsid w:val="00366C31"/>
    <w:rsid w:val="00366E4E"/>
    <w:rsid w:val="0036708B"/>
    <w:rsid w:val="003676E5"/>
    <w:rsid w:val="003676EA"/>
    <w:rsid w:val="00367886"/>
    <w:rsid w:val="00367AD9"/>
    <w:rsid w:val="00367CC7"/>
    <w:rsid w:val="00370219"/>
    <w:rsid w:val="0037051E"/>
    <w:rsid w:val="00370767"/>
    <w:rsid w:val="003707BC"/>
    <w:rsid w:val="00370859"/>
    <w:rsid w:val="00370F05"/>
    <w:rsid w:val="00371154"/>
    <w:rsid w:val="00371208"/>
    <w:rsid w:val="00371645"/>
    <w:rsid w:val="003718D9"/>
    <w:rsid w:val="0037207D"/>
    <w:rsid w:val="003721CF"/>
    <w:rsid w:val="00372389"/>
    <w:rsid w:val="00372564"/>
    <w:rsid w:val="00372644"/>
    <w:rsid w:val="00372655"/>
    <w:rsid w:val="00372B99"/>
    <w:rsid w:val="003730F3"/>
    <w:rsid w:val="00373319"/>
    <w:rsid w:val="0037334A"/>
    <w:rsid w:val="003734B3"/>
    <w:rsid w:val="0037443B"/>
    <w:rsid w:val="00374D3E"/>
    <w:rsid w:val="00375820"/>
    <w:rsid w:val="00375B14"/>
    <w:rsid w:val="00375D85"/>
    <w:rsid w:val="003760FD"/>
    <w:rsid w:val="003769D5"/>
    <w:rsid w:val="00377475"/>
    <w:rsid w:val="00377A8C"/>
    <w:rsid w:val="0037F278"/>
    <w:rsid w:val="0038014C"/>
    <w:rsid w:val="0038054C"/>
    <w:rsid w:val="0038061C"/>
    <w:rsid w:val="0038104E"/>
    <w:rsid w:val="00381168"/>
    <w:rsid w:val="003814B0"/>
    <w:rsid w:val="00381E3D"/>
    <w:rsid w:val="003825F4"/>
    <w:rsid w:val="00383181"/>
    <w:rsid w:val="003831B7"/>
    <w:rsid w:val="003831C2"/>
    <w:rsid w:val="00383338"/>
    <w:rsid w:val="0038339B"/>
    <w:rsid w:val="00383409"/>
    <w:rsid w:val="00383701"/>
    <w:rsid w:val="003840B4"/>
    <w:rsid w:val="00384187"/>
    <w:rsid w:val="0038458A"/>
    <w:rsid w:val="00384744"/>
    <w:rsid w:val="00384900"/>
    <w:rsid w:val="00384D8F"/>
    <w:rsid w:val="00384DCE"/>
    <w:rsid w:val="00384EF8"/>
    <w:rsid w:val="0038543F"/>
    <w:rsid w:val="0038549E"/>
    <w:rsid w:val="00386891"/>
    <w:rsid w:val="00386A21"/>
    <w:rsid w:val="0038735C"/>
    <w:rsid w:val="003874B4"/>
    <w:rsid w:val="00387631"/>
    <w:rsid w:val="00387823"/>
    <w:rsid w:val="00390044"/>
    <w:rsid w:val="003903FB"/>
    <w:rsid w:val="00390644"/>
    <w:rsid w:val="0039066F"/>
    <w:rsid w:val="00390D50"/>
    <w:rsid w:val="00390EAD"/>
    <w:rsid w:val="00390EAF"/>
    <w:rsid w:val="00391155"/>
    <w:rsid w:val="003911AB"/>
    <w:rsid w:val="00391438"/>
    <w:rsid w:val="00391CBB"/>
    <w:rsid w:val="00391D90"/>
    <w:rsid w:val="00391DDE"/>
    <w:rsid w:val="0039208E"/>
    <w:rsid w:val="003921BC"/>
    <w:rsid w:val="003923A6"/>
    <w:rsid w:val="0039257A"/>
    <w:rsid w:val="00392D26"/>
    <w:rsid w:val="00393231"/>
    <w:rsid w:val="0039372B"/>
    <w:rsid w:val="0039383D"/>
    <w:rsid w:val="003938A2"/>
    <w:rsid w:val="00393F66"/>
    <w:rsid w:val="00394FE8"/>
    <w:rsid w:val="00395069"/>
    <w:rsid w:val="003955AD"/>
    <w:rsid w:val="00395A0A"/>
    <w:rsid w:val="00396476"/>
    <w:rsid w:val="00396523"/>
    <w:rsid w:val="00396C46"/>
    <w:rsid w:val="00396DD2"/>
    <w:rsid w:val="00396FB1"/>
    <w:rsid w:val="00397969"/>
    <w:rsid w:val="00397BF1"/>
    <w:rsid w:val="003A06A0"/>
    <w:rsid w:val="003A0A67"/>
    <w:rsid w:val="003A1273"/>
    <w:rsid w:val="003A1596"/>
    <w:rsid w:val="003A1BF3"/>
    <w:rsid w:val="003A1FEA"/>
    <w:rsid w:val="003A344A"/>
    <w:rsid w:val="003A3622"/>
    <w:rsid w:val="003A36D4"/>
    <w:rsid w:val="003A3711"/>
    <w:rsid w:val="003A3C97"/>
    <w:rsid w:val="003A4139"/>
    <w:rsid w:val="003A45FF"/>
    <w:rsid w:val="003A495B"/>
    <w:rsid w:val="003A4B2F"/>
    <w:rsid w:val="003A4C4A"/>
    <w:rsid w:val="003A4F9E"/>
    <w:rsid w:val="003A5033"/>
    <w:rsid w:val="003A53AA"/>
    <w:rsid w:val="003A5EEB"/>
    <w:rsid w:val="003A5F1A"/>
    <w:rsid w:val="003A701E"/>
    <w:rsid w:val="003A7161"/>
    <w:rsid w:val="003A7200"/>
    <w:rsid w:val="003A75C6"/>
    <w:rsid w:val="003A79FF"/>
    <w:rsid w:val="003A7DFF"/>
    <w:rsid w:val="003B00E9"/>
    <w:rsid w:val="003B02DF"/>
    <w:rsid w:val="003B0A8B"/>
    <w:rsid w:val="003B0F0D"/>
    <w:rsid w:val="003B1083"/>
    <w:rsid w:val="003B112E"/>
    <w:rsid w:val="003B12DB"/>
    <w:rsid w:val="003B1C5D"/>
    <w:rsid w:val="003B1EAD"/>
    <w:rsid w:val="003B1F1C"/>
    <w:rsid w:val="003B238E"/>
    <w:rsid w:val="003B23A8"/>
    <w:rsid w:val="003B2EA2"/>
    <w:rsid w:val="003B3822"/>
    <w:rsid w:val="003B3A0E"/>
    <w:rsid w:val="003B3BAD"/>
    <w:rsid w:val="003B3DCE"/>
    <w:rsid w:val="003B3F02"/>
    <w:rsid w:val="003B3F64"/>
    <w:rsid w:val="003B3FD5"/>
    <w:rsid w:val="003B4644"/>
    <w:rsid w:val="003B4B26"/>
    <w:rsid w:val="003B4CE2"/>
    <w:rsid w:val="003B4E29"/>
    <w:rsid w:val="003B5306"/>
    <w:rsid w:val="003B5757"/>
    <w:rsid w:val="003B5E05"/>
    <w:rsid w:val="003B6179"/>
    <w:rsid w:val="003B6236"/>
    <w:rsid w:val="003B69D0"/>
    <w:rsid w:val="003B7B4D"/>
    <w:rsid w:val="003C0125"/>
    <w:rsid w:val="003C03F7"/>
    <w:rsid w:val="003C05CD"/>
    <w:rsid w:val="003C093F"/>
    <w:rsid w:val="003C0FE5"/>
    <w:rsid w:val="003C191F"/>
    <w:rsid w:val="003C1CAF"/>
    <w:rsid w:val="003C22D4"/>
    <w:rsid w:val="003C29AF"/>
    <w:rsid w:val="003C3F73"/>
    <w:rsid w:val="003C40A2"/>
    <w:rsid w:val="003C44DE"/>
    <w:rsid w:val="003C47E1"/>
    <w:rsid w:val="003C53CE"/>
    <w:rsid w:val="003C5519"/>
    <w:rsid w:val="003C58D3"/>
    <w:rsid w:val="003C5A97"/>
    <w:rsid w:val="003C616B"/>
    <w:rsid w:val="003C62CD"/>
    <w:rsid w:val="003C681D"/>
    <w:rsid w:val="003C6BED"/>
    <w:rsid w:val="003C6D44"/>
    <w:rsid w:val="003C71A1"/>
    <w:rsid w:val="003C7333"/>
    <w:rsid w:val="003C7965"/>
    <w:rsid w:val="003C7D06"/>
    <w:rsid w:val="003C7EF7"/>
    <w:rsid w:val="003D0266"/>
    <w:rsid w:val="003D0E1F"/>
    <w:rsid w:val="003D1092"/>
    <w:rsid w:val="003D1182"/>
    <w:rsid w:val="003D1AE0"/>
    <w:rsid w:val="003D22DA"/>
    <w:rsid w:val="003D23A8"/>
    <w:rsid w:val="003D278A"/>
    <w:rsid w:val="003D27EE"/>
    <w:rsid w:val="003D2B49"/>
    <w:rsid w:val="003D31DA"/>
    <w:rsid w:val="003D3779"/>
    <w:rsid w:val="003D425A"/>
    <w:rsid w:val="003D45EB"/>
    <w:rsid w:val="003D4866"/>
    <w:rsid w:val="003D4AC8"/>
    <w:rsid w:val="003D507A"/>
    <w:rsid w:val="003D5735"/>
    <w:rsid w:val="003D5BE9"/>
    <w:rsid w:val="003D6280"/>
    <w:rsid w:val="003D644B"/>
    <w:rsid w:val="003D66CB"/>
    <w:rsid w:val="003D687A"/>
    <w:rsid w:val="003D691C"/>
    <w:rsid w:val="003D6AAA"/>
    <w:rsid w:val="003D6B4F"/>
    <w:rsid w:val="003D6DD3"/>
    <w:rsid w:val="003D6E45"/>
    <w:rsid w:val="003D7A2D"/>
    <w:rsid w:val="003D7A78"/>
    <w:rsid w:val="003D7C91"/>
    <w:rsid w:val="003E0282"/>
    <w:rsid w:val="003E043F"/>
    <w:rsid w:val="003E07F1"/>
    <w:rsid w:val="003E0E8C"/>
    <w:rsid w:val="003E113F"/>
    <w:rsid w:val="003E1418"/>
    <w:rsid w:val="003E1ABA"/>
    <w:rsid w:val="003E2696"/>
    <w:rsid w:val="003E33E0"/>
    <w:rsid w:val="003E4979"/>
    <w:rsid w:val="003E4B79"/>
    <w:rsid w:val="003E4B85"/>
    <w:rsid w:val="003E4F66"/>
    <w:rsid w:val="003E581F"/>
    <w:rsid w:val="003E5DEF"/>
    <w:rsid w:val="003E5F16"/>
    <w:rsid w:val="003E634D"/>
    <w:rsid w:val="003E64BB"/>
    <w:rsid w:val="003E6AC1"/>
    <w:rsid w:val="003E6AFF"/>
    <w:rsid w:val="003E6F4D"/>
    <w:rsid w:val="003E7EEA"/>
    <w:rsid w:val="003F01E7"/>
    <w:rsid w:val="003F0462"/>
    <w:rsid w:val="003F18CF"/>
    <w:rsid w:val="003F1FF6"/>
    <w:rsid w:val="003F20E2"/>
    <w:rsid w:val="003F2BFE"/>
    <w:rsid w:val="003F347D"/>
    <w:rsid w:val="003F38B8"/>
    <w:rsid w:val="003F3A44"/>
    <w:rsid w:val="003F3FB1"/>
    <w:rsid w:val="003F4919"/>
    <w:rsid w:val="003F5875"/>
    <w:rsid w:val="003F5F0A"/>
    <w:rsid w:val="003F664E"/>
    <w:rsid w:val="003F6DF4"/>
    <w:rsid w:val="003F6E2C"/>
    <w:rsid w:val="003F7022"/>
    <w:rsid w:val="003F705F"/>
    <w:rsid w:val="003F7263"/>
    <w:rsid w:val="003F7692"/>
    <w:rsid w:val="003F773D"/>
    <w:rsid w:val="003F777D"/>
    <w:rsid w:val="003F7B50"/>
    <w:rsid w:val="003F7D77"/>
    <w:rsid w:val="00400069"/>
    <w:rsid w:val="0040053A"/>
    <w:rsid w:val="00400632"/>
    <w:rsid w:val="00400848"/>
    <w:rsid w:val="00400A5E"/>
    <w:rsid w:val="004015B0"/>
    <w:rsid w:val="004016AD"/>
    <w:rsid w:val="00401A15"/>
    <w:rsid w:val="00401C5B"/>
    <w:rsid w:val="00401DB1"/>
    <w:rsid w:val="00401F04"/>
    <w:rsid w:val="0040204A"/>
    <w:rsid w:val="004020FB"/>
    <w:rsid w:val="0040230D"/>
    <w:rsid w:val="004028D0"/>
    <w:rsid w:val="00402940"/>
    <w:rsid w:val="00402AAB"/>
    <w:rsid w:val="00402F5B"/>
    <w:rsid w:val="0040317C"/>
    <w:rsid w:val="00403226"/>
    <w:rsid w:val="00403827"/>
    <w:rsid w:val="004040E3"/>
    <w:rsid w:val="00404490"/>
    <w:rsid w:val="00404D4D"/>
    <w:rsid w:val="00405068"/>
    <w:rsid w:val="00405B82"/>
    <w:rsid w:val="00407262"/>
    <w:rsid w:val="00407CDA"/>
    <w:rsid w:val="00407E1C"/>
    <w:rsid w:val="004100FD"/>
    <w:rsid w:val="0041029D"/>
    <w:rsid w:val="00410347"/>
    <w:rsid w:val="004104BF"/>
    <w:rsid w:val="0041068A"/>
    <w:rsid w:val="00410DEC"/>
    <w:rsid w:val="0041138F"/>
    <w:rsid w:val="004118D5"/>
    <w:rsid w:val="004121AE"/>
    <w:rsid w:val="0041282F"/>
    <w:rsid w:val="00412EF3"/>
    <w:rsid w:val="004133CD"/>
    <w:rsid w:val="00413549"/>
    <w:rsid w:val="00413791"/>
    <w:rsid w:val="00413F69"/>
    <w:rsid w:val="00413F8E"/>
    <w:rsid w:val="00414538"/>
    <w:rsid w:val="0041479C"/>
    <w:rsid w:val="004153CA"/>
    <w:rsid w:val="004162DB"/>
    <w:rsid w:val="00416723"/>
    <w:rsid w:val="00416787"/>
    <w:rsid w:val="0041680F"/>
    <w:rsid w:val="00416F52"/>
    <w:rsid w:val="00416F6B"/>
    <w:rsid w:val="004174F8"/>
    <w:rsid w:val="00417928"/>
    <w:rsid w:val="004203CA"/>
    <w:rsid w:val="00420875"/>
    <w:rsid w:val="0042087D"/>
    <w:rsid w:val="004208D7"/>
    <w:rsid w:val="00420CA2"/>
    <w:rsid w:val="0042175A"/>
    <w:rsid w:val="00421878"/>
    <w:rsid w:val="00421AE1"/>
    <w:rsid w:val="00422433"/>
    <w:rsid w:val="004228EE"/>
    <w:rsid w:val="004229F9"/>
    <w:rsid w:val="00422BB1"/>
    <w:rsid w:val="00422D87"/>
    <w:rsid w:val="00422F7A"/>
    <w:rsid w:val="0042325A"/>
    <w:rsid w:val="0042336F"/>
    <w:rsid w:val="00423483"/>
    <w:rsid w:val="004234EF"/>
    <w:rsid w:val="00423A4B"/>
    <w:rsid w:val="004242F0"/>
    <w:rsid w:val="004242F2"/>
    <w:rsid w:val="004249DB"/>
    <w:rsid w:val="00424C76"/>
    <w:rsid w:val="00425554"/>
    <w:rsid w:val="0042556A"/>
    <w:rsid w:val="00425B68"/>
    <w:rsid w:val="00425C9F"/>
    <w:rsid w:val="004267A6"/>
    <w:rsid w:val="004268A5"/>
    <w:rsid w:val="00426944"/>
    <w:rsid w:val="004300E1"/>
    <w:rsid w:val="00430294"/>
    <w:rsid w:val="0043045D"/>
    <w:rsid w:val="004309CF"/>
    <w:rsid w:val="00430B44"/>
    <w:rsid w:val="00430F27"/>
    <w:rsid w:val="0043104B"/>
    <w:rsid w:val="0043181D"/>
    <w:rsid w:val="00431B53"/>
    <w:rsid w:val="00431D31"/>
    <w:rsid w:val="004328E4"/>
    <w:rsid w:val="00432937"/>
    <w:rsid w:val="00433460"/>
    <w:rsid w:val="00433D87"/>
    <w:rsid w:val="00433ECE"/>
    <w:rsid w:val="004347A7"/>
    <w:rsid w:val="00434800"/>
    <w:rsid w:val="00434F9C"/>
    <w:rsid w:val="00435116"/>
    <w:rsid w:val="004355DB"/>
    <w:rsid w:val="00435F09"/>
    <w:rsid w:val="00435F6F"/>
    <w:rsid w:val="00436548"/>
    <w:rsid w:val="00436C20"/>
    <w:rsid w:val="004373A1"/>
    <w:rsid w:val="0044026C"/>
    <w:rsid w:val="00440392"/>
    <w:rsid w:val="00440502"/>
    <w:rsid w:val="00440D29"/>
    <w:rsid w:val="004412E5"/>
    <w:rsid w:val="0044157A"/>
    <w:rsid w:val="004415FC"/>
    <w:rsid w:val="00441989"/>
    <w:rsid w:val="00442112"/>
    <w:rsid w:val="00442822"/>
    <w:rsid w:val="00442990"/>
    <w:rsid w:val="004437F3"/>
    <w:rsid w:val="00443A3A"/>
    <w:rsid w:val="00443AE0"/>
    <w:rsid w:val="00443D1A"/>
    <w:rsid w:val="004442B1"/>
    <w:rsid w:val="004443FB"/>
    <w:rsid w:val="0044476D"/>
    <w:rsid w:val="00445064"/>
    <w:rsid w:val="00445114"/>
    <w:rsid w:val="00445172"/>
    <w:rsid w:val="00447603"/>
    <w:rsid w:val="00447999"/>
    <w:rsid w:val="00447AC5"/>
    <w:rsid w:val="00447EAD"/>
    <w:rsid w:val="004503D1"/>
    <w:rsid w:val="004504A7"/>
    <w:rsid w:val="00450899"/>
    <w:rsid w:val="004508B7"/>
    <w:rsid w:val="00450FE9"/>
    <w:rsid w:val="00451A7B"/>
    <w:rsid w:val="004522A6"/>
    <w:rsid w:val="004529AD"/>
    <w:rsid w:val="004529D7"/>
    <w:rsid w:val="00452A11"/>
    <w:rsid w:val="004535ED"/>
    <w:rsid w:val="00453876"/>
    <w:rsid w:val="00453BF4"/>
    <w:rsid w:val="004541B9"/>
    <w:rsid w:val="00454571"/>
    <w:rsid w:val="00455AFA"/>
    <w:rsid w:val="00456308"/>
    <w:rsid w:val="004566BE"/>
    <w:rsid w:val="0045682E"/>
    <w:rsid w:val="004568B4"/>
    <w:rsid w:val="00456D45"/>
    <w:rsid w:val="00456E9E"/>
    <w:rsid w:val="00457142"/>
    <w:rsid w:val="004573A4"/>
    <w:rsid w:val="00457493"/>
    <w:rsid w:val="00457958"/>
    <w:rsid w:val="00460181"/>
    <w:rsid w:val="004601F2"/>
    <w:rsid w:val="004607D2"/>
    <w:rsid w:val="0046115F"/>
    <w:rsid w:val="0046148D"/>
    <w:rsid w:val="00461535"/>
    <w:rsid w:val="004627CF"/>
    <w:rsid w:val="00462977"/>
    <w:rsid w:val="00462A4A"/>
    <w:rsid w:val="00462DBA"/>
    <w:rsid w:val="00462ECD"/>
    <w:rsid w:val="004635B7"/>
    <w:rsid w:val="004639DA"/>
    <w:rsid w:val="00463CFC"/>
    <w:rsid w:val="00464027"/>
    <w:rsid w:val="004641CB"/>
    <w:rsid w:val="0046443B"/>
    <w:rsid w:val="00464B04"/>
    <w:rsid w:val="00464BC7"/>
    <w:rsid w:val="004651B8"/>
    <w:rsid w:val="00465580"/>
    <w:rsid w:val="00465972"/>
    <w:rsid w:val="00465B01"/>
    <w:rsid w:val="00465E7E"/>
    <w:rsid w:val="00465E8F"/>
    <w:rsid w:val="00466BB5"/>
    <w:rsid w:val="00466C0A"/>
    <w:rsid w:val="004672E8"/>
    <w:rsid w:val="004677E9"/>
    <w:rsid w:val="00467CE1"/>
    <w:rsid w:val="00467DD6"/>
    <w:rsid w:val="00467EDB"/>
    <w:rsid w:val="00470535"/>
    <w:rsid w:val="00471183"/>
    <w:rsid w:val="0047123C"/>
    <w:rsid w:val="004714F6"/>
    <w:rsid w:val="00471629"/>
    <w:rsid w:val="00472055"/>
    <w:rsid w:val="0047289C"/>
    <w:rsid w:val="00472C24"/>
    <w:rsid w:val="00472E22"/>
    <w:rsid w:val="00472F67"/>
    <w:rsid w:val="00473343"/>
    <w:rsid w:val="004739A1"/>
    <w:rsid w:val="00473BED"/>
    <w:rsid w:val="00473DA7"/>
    <w:rsid w:val="004741C5"/>
    <w:rsid w:val="0047430D"/>
    <w:rsid w:val="00474FDF"/>
    <w:rsid w:val="004752A1"/>
    <w:rsid w:val="00475688"/>
    <w:rsid w:val="004758F6"/>
    <w:rsid w:val="004759E3"/>
    <w:rsid w:val="00475C51"/>
    <w:rsid w:val="00475E5F"/>
    <w:rsid w:val="00476161"/>
    <w:rsid w:val="004765BA"/>
    <w:rsid w:val="00476658"/>
    <w:rsid w:val="00476E34"/>
    <w:rsid w:val="00476EE1"/>
    <w:rsid w:val="00477163"/>
    <w:rsid w:val="0047732C"/>
    <w:rsid w:val="00477B0E"/>
    <w:rsid w:val="00481688"/>
    <w:rsid w:val="004820E0"/>
    <w:rsid w:val="004822CA"/>
    <w:rsid w:val="00483F95"/>
    <w:rsid w:val="00484D20"/>
    <w:rsid w:val="004850C1"/>
    <w:rsid w:val="004867D2"/>
    <w:rsid w:val="00486F54"/>
    <w:rsid w:val="004871B4"/>
    <w:rsid w:val="004876DD"/>
    <w:rsid w:val="00487F2A"/>
    <w:rsid w:val="00491418"/>
    <w:rsid w:val="004916C9"/>
    <w:rsid w:val="0049178A"/>
    <w:rsid w:val="00491C1D"/>
    <w:rsid w:val="00491DF1"/>
    <w:rsid w:val="004920AF"/>
    <w:rsid w:val="00492535"/>
    <w:rsid w:val="00493281"/>
    <w:rsid w:val="00493435"/>
    <w:rsid w:val="0049376B"/>
    <w:rsid w:val="0049462B"/>
    <w:rsid w:val="00494746"/>
    <w:rsid w:val="00494B28"/>
    <w:rsid w:val="00494E6E"/>
    <w:rsid w:val="0049567D"/>
    <w:rsid w:val="00495FFF"/>
    <w:rsid w:val="00496190"/>
    <w:rsid w:val="00496A4E"/>
    <w:rsid w:val="00496A9F"/>
    <w:rsid w:val="00497358"/>
    <w:rsid w:val="00497F36"/>
    <w:rsid w:val="00497FA5"/>
    <w:rsid w:val="004A03B3"/>
    <w:rsid w:val="004A04D5"/>
    <w:rsid w:val="004A178D"/>
    <w:rsid w:val="004A1B07"/>
    <w:rsid w:val="004A1E64"/>
    <w:rsid w:val="004A2163"/>
    <w:rsid w:val="004A2E04"/>
    <w:rsid w:val="004A3226"/>
    <w:rsid w:val="004A399F"/>
    <w:rsid w:val="004A4096"/>
    <w:rsid w:val="004A4692"/>
    <w:rsid w:val="004A64C3"/>
    <w:rsid w:val="004A669F"/>
    <w:rsid w:val="004A6842"/>
    <w:rsid w:val="004A6A06"/>
    <w:rsid w:val="004A6DAE"/>
    <w:rsid w:val="004A718C"/>
    <w:rsid w:val="004A7493"/>
    <w:rsid w:val="004A7DBE"/>
    <w:rsid w:val="004A7F94"/>
    <w:rsid w:val="004B08AC"/>
    <w:rsid w:val="004B0D88"/>
    <w:rsid w:val="004B1305"/>
    <w:rsid w:val="004B1D0C"/>
    <w:rsid w:val="004B1D4A"/>
    <w:rsid w:val="004B1E2A"/>
    <w:rsid w:val="004B206E"/>
    <w:rsid w:val="004B229E"/>
    <w:rsid w:val="004B23F8"/>
    <w:rsid w:val="004B29C2"/>
    <w:rsid w:val="004B29E1"/>
    <w:rsid w:val="004B2C52"/>
    <w:rsid w:val="004B2D84"/>
    <w:rsid w:val="004B2F46"/>
    <w:rsid w:val="004B395D"/>
    <w:rsid w:val="004B4194"/>
    <w:rsid w:val="004B44A9"/>
    <w:rsid w:val="004B457E"/>
    <w:rsid w:val="004B520F"/>
    <w:rsid w:val="004B55F0"/>
    <w:rsid w:val="004B56C3"/>
    <w:rsid w:val="004B5ECF"/>
    <w:rsid w:val="004B6341"/>
    <w:rsid w:val="004B64E7"/>
    <w:rsid w:val="004B67CF"/>
    <w:rsid w:val="004B6928"/>
    <w:rsid w:val="004B79FA"/>
    <w:rsid w:val="004B7D94"/>
    <w:rsid w:val="004B7F9C"/>
    <w:rsid w:val="004C0A67"/>
    <w:rsid w:val="004C0FB7"/>
    <w:rsid w:val="004C104B"/>
    <w:rsid w:val="004C164A"/>
    <w:rsid w:val="004C2E14"/>
    <w:rsid w:val="004C2FE3"/>
    <w:rsid w:val="004C305A"/>
    <w:rsid w:val="004C35EF"/>
    <w:rsid w:val="004C3A3C"/>
    <w:rsid w:val="004C3AB2"/>
    <w:rsid w:val="004C3BCF"/>
    <w:rsid w:val="004C4198"/>
    <w:rsid w:val="004C43FB"/>
    <w:rsid w:val="004C4829"/>
    <w:rsid w:val="004C4D30"/>
    <w:rsid w:val="004C4EAB"/>
    <w:rsid w:val="004C556F"/>
    <w:rsid w:val="004C5570"/>
    <w:rsid w:val="004C5BD0"/>
    <w:rsid w:val="004C5D52"/>
    <w:rsid w:val="004C5DB0"/>
    <w:rsid w:val="004C60D8"/>
    <w:rsid w:val="004C6119"/>
    <w:rsid w:val="004C62EE"/>
    <w:rsid w:val="004C6A0D"/>
    <w:rsid w:val="004D1000"/>
    <w:rsid w:val="004D1171"/>
    <w:rsid w:val="004D1D27"/>
    <w:rsid w:val="004D2EC3"/>
    <w:rsid w:val="004D2FF6"/>
    <w:rsid w:val="004D3483"/>
    <w:rsid w:val="004D3FD6"/>
    <w:rsid w:val="004D405F"/>
    <w:rsid w:val="004D41EE"/>
    <w:rsid w:val="004D55BC"/>
    <w:rsid w:val="004D55CA"/>
    <w:rsid w:val="004D5A27"/>
    <w:rsid w:val="004D5D89"/>
    <w:rsid w:val="004D5F0E"/>
    <w:rsid w:val="004D6626"/>
    <w:rsid w:val="004D6758"/>
    <w:rsid w:val="004D6866"/>
    <w:rsid w:val="004D7B1A"/>
    <w:rsid w:val="004D7F3F"/>
    <w:rsid w:val="004E0830"/>
    <w:rsid w:val="004E169C"/>
    <w:rsid w:val="004E1BF0"/>
    <w:rsid w:val="004E1E6A"/>
    <w:rsid w:val="004E22E0"/>
    <w:rsid w:val="004E2604"/>
    <w:rsid w:val="004E28E1"/>
    <w:rsid w:val="004E2B01"/>
    <w:rsid w:val="004E2B28"/>
    <w:rsid w:val="004E34C7"/>
    <w:rsid w:val="004E356A"/>
    <w:rsid w:val="004E375D"/>
    <w:rsid w:val="004E3850"/>
    <w:rsid w:val="004E3FC1"/>
    <w:rsid w:val="004E4C3D"/>
    <w:rsid w:val="004E4DFB"/>
    <w:rsid w:val="004E575B"/>
    <w:rsid w:val="004E58EA"/>
    <w:rsid w:val="004E5F65"/>
    <w:rsid w:val="004E6C2A"/>
    <w:rsid w:val="004E6C7A"/>
    <w:rsid w:val="004E7615"/>
    <w:rsid w:val="004E77A0"/>
    <w:rsid w:val="004E7CDF"/>
    <w:rsid w:val="004F078C"/>
    <w:rsid w:val="004F0F10"/>
    <w:rsid w:val="004F11D9"/>
    <w:rsid w:val="004F129F"/>
    <w:rsid w:val="004F1324"/>
    <w:rsid w:val="004F1335"/>
    <w:rsid w:val="004F1C7D"/>
    <w:rsid w:val="004F1D24"/>
    <w:rsid w:val="004F21D2"/>
    <w:rsid w:val="004F2641"/>
    <w:rsid w:val="004F27F3"/>
    <w:rsid w:val="004F29B9"/>
    <w:rsid w:val="004F2B8E"/>
    <w:rsid w:val="004F2C85"/>
    <w:rsid w:val="004F2C88"/>
    <w:rsid w:val="004F3078"/>
    <w:rsid w:val="004F32BF"/>
    <w:rsid w:val="004F348A"/>
    <w:rsid w:val="004F34E3"/>
    <w:rsid w:val="004F37F3"/>
    <w:rsid w:val="004F398B"/>
    <w:rsid w:val="004F3E6A"/>
    <w:rsid w:val="004F4607"/>
    <w:rsid w:val="004F4680"/>
    <w:rsid w:val="004F469D"/>
    <w:rsid w:val="004F46CF"/>
    <w:rsid w:val="004F5346"/>
    <w:rsid w:val="004F5C09"/>
    <w:rsid w:val="004F5E4E"/>
    <w:rsid w:val="004F6067"/>
    <w:rsid w:val="004F63CC"/>
    <w:rsid w:val="004F6678"/>
    <w:rsid w:val="004F668A"/>
    <w:rsid w:val="004F677C"/>
    <w:rsid w:val="004F68B4"/>
    <w:rsid w:val="004F6B28"/>
    <w:rsid w:val="004F6C65"/>
    <w:rsid w:val="004F6D2E"/>
    <w:rsid w:val="004F7332"/>
    <w:rsid w:val="004F7C2D"/>
    <w:rsid w:val="004F7F0F"/>
    <w:rsid w:val="004F7FBC"/>
    <w:rsid w:val="005001AE"/>
    <w:rsid w:val="005007E7"/>
    <w:rsid w:val="00500ABC"/>
    <w:rsid w:val="005012FC"/>
    <w:rsid w:val="005019AA"/>
    <w:rsid w:val="00501B78"/>
    <w:rsid w:val="00501EBE"/>
    <w:rsid w:val="00503551"/>
    <w:rsid w:val="00503F38"/>
    <w:rsid w:val="005043FC"/>
    <w:rsid w:val="00504A55"/>
    <w:rsid w:val="0050535C"/>
    <w:rsid w:val="00505F08"/>
    <w:rsid w:val="00505FC8"/>
    <w:rsid w:val="00506423"/>
    <w:rsid w:val="0050671D"/>
    <w:rsid w:val="0050672C"/>
    <w:rsid w:val="00506868"/>
    <w:rsid w:val="00506C4C"/>
    <w:rsid w:val="0050700E"/>
    <w:rsid w:val="005079D7"/>
    <w:rsid w:val="00507B2A"/>
    <w:rsid w:val="00510A22"/>
    <w:rsid w:val="00510D8A"/>
    <w:rsid w:val="005110F9"/>
    <w:rsid w:val="00511EBC"/>
    <w:rsid w:val="00512037"/>
    <w:rsid w:val="005125D5"/>
    <w:rsid w:val="00512CED"/>
    <w:rsid w:val="00512D51"/>
    <w:rsid w:val="00512E95"/>
    <w:rsid w:val="005132B9"/>
    <w:rsid w:val="005135F7"/>
    <w:rsid w:val="00514674"/>
    <w:rsid w:val="0051477F"/>
    <w:rsid w:val="00514C46"/>
    <w:rsid w:val="0051537A"/>
    <w:rsid w:val="00515BCF"/>
    <w:rsid w:val="00515F96"/>
    <w:rsid w:val="00516083"/>
    <w:rsid w:val="005162EE"/>
    <w:rsid w:val="0051635A"/>
    <w:rsid w:val="0051646E"/>
    <w:rsid w:val="005166C3"/>
    <w:rsid w:val="00516AA1"/>
    <w:rsid w:val="00516EA5"/>
    <w:rsid w:val="005179DA"/>
    <w:rsid w:val="00517E2A"/>
    <w:rsid w:val="00520C1C"/>
    <w:rsid w:val="00521439"/>
    <w:rsid w:val="00522133"/>
    <w:rsid w:val="0052292E"/>
    <w:rsid w:val="00523086"/>
    <w:rsid w:val="005232E0"/>
    <w:rsid w:val="005232F3"/>
    <w:rsid w:val="0052373B"/>
    <w:rsid w:val="00523E00"/>
    <w:rsid w:val="0052439F"/>
    <w:rsid w:val="005243EB"/>
    <w:rsid w:val="0052540D"/>
    <w:rsid w:val="00525789"/>
    <w:rsid w:val="00525890"/>
    <w:rsid w:val="00525D35"/>
    <w:rsid w:val="00525FE8"/>
    <w:rsid w:val="0052636B"/>
    <w:rsid w:val="00526452"/>
    <w:rsid w:val="00526816"/>
    <w:rsid w:val="00526B44"/>
    <w:rsid w:val="00526F09"/>
    <w:rsid w:val="00527F4F"/>
    <w:rsid w:val="00530512"/>
    <w:rsid w:val="00530799"/>
    <w:rsid w:val="00530FC2"/>
    <w:rsid w:val="0053109F"/>
    <w:rsid w:val="005311E8"/>
    <w:rsid w:val="005312C4"/>
    <w:rsid w:val="0053133A"/>
    <w:rsid w:val="00531822"/>
    <w:rsid w:val="005326D0"/>
    <w:rsid w:val="005327CB"/>
    <w:rsid w:val="00532800"/>
    <w:rsid w:val="00532A80"/>
    <w:rsid w:val="00532FDA"/>
    <w:rsid w:val="00533250"/>
    <w:rsid w:val="005332E3"/>
    <w:rsid w:val="00533EE8"/>
    <w:rsid w:val="0053417D"/>
    <w:rsid w:val="0053490C"/>
    <w:rsid w:val="00534F5B"/>
    <w:rsid w:val="00535585"/>
    <w:rsid w:val="00535891"/>
    <w:rsid w:val="0053643E"/>
    <w:rsid w:val="005364C8"/>
    <w:rsid w:val="00536A58"/>
    <w:rsid w:val="00536AB4"/>
    <w:rsid w:val="00537127"/>
    <w:rsid w:val="005374B1"/>
    <w:rsid w:val="0053764B"/>
    <w:rsid w:val="0054069F"/>
    <w:rsid w:val="005406D1"/>
    <w:rsid w:val="00541112"/>
    <w:rsid w:val="00541307"/>
    <w:rsid w:val="005413CB"/>
    <w:rsid w:val="00541B60"/>
    <w:rsid w:val="00541DB8"/>
    <w:rsid w:val="00541F9A"/>
    <w:rsid w:val="00542599"/>
    <w:rsid w:val="00542EB4"/>
    <w:rsid w:val="00542FD7"/>
    <w:rsid w:val="005448B9"/>
    <w:rsid w:val="005449F6"/>
    <w:rsid w:val="00545136"/>
    <w:rsid w:val="005452C1"/>
    <w:rsid w:val="00545B42"/>
    <w:rsid w:val="0054612B"/>
    <w:rsid w:val="00546756"/>
    <w:rsid w:val="005473C8"/>
    <w:rsid w:val="00547753"/>
    <w:rsid w:val="005479F5"/>
    <w:rsid w:val="00547D90"/>
    <w:rsid w:val="005508EF"/>
    <w:rsid w:val="005510E3"/>
    <w:rsid w:val="0055173F"/>
    <w:rsid w:val="00551AD6"/>
    <w:rsid w:val="00551AE8"/>
    <w:rsid w:val="00551D57"/>
    <w:rsid w:val="00552768"/>
    <w:rsid w:val="00552E11"/>
    <w:rsid w:val="00552FEB"/>
    <w:rsid w:val="0055326B"/>
    <w:rsid w:val="005532A3"/>
    <w:rsid w:val="00553395"/>
    <w:rsid w:val="00553567"/>
    <w:rsid w:val="005538EF"/>
    <w:rsid w:val="00553C0B"/>
    <w:rsid w:val="0055400F"/>
    <w:rsid w:val="005544C5"/>
    <w:rsid w:val="005548DD"/>
    <w:rsid w:val="00554CBA"/>
    <w:rsid w:val="00554D05"/>
    <w:rsid w:val="00555500"/>
    <w:rsid w:val="00555FC3"/>
    <w:rsid w:val="00556027"/>
    <w:rsid w:val="00556506"/>
    <w:rsid w:val="0055659A"/>
    <w:rsid w:val="00556731"/>
    <w:rsid w:val="00557401"/>
    <w:rsid w:val="0055747C"/>
    <w:rsid w:val="00557D41"/>
    <w:rsid w:val="00557F5B"/>
    <w:rsid w:val="00557FE2"/>
    <w:rsid w:val="00560729"/>
    <w:rsid w:val="00560A86"/>
    <w:rsid w:val="00560FBB"/>
    <w:rsid w:val="00561571"/>
    <w:rsid w:val="00561C64"/>
    <w:rsid w:val="00561E4E"/>
    <w:rsid w:val="0056218D"/>
    <w:rsid w:val="00562EAD"/>
    <w:rsid w:val="00563222"/>
    <w:rsid w:val="00563AEB"/>
    <w:rsid w:val="005645F7"/>
    <w:rsid w:val="00564775"/>
    <w:rsid w:val="00564B49"/>
    <w:rsid w:val="00565AD1"/>
    <w:rsid w:val="00566C28"/>
    <w:rsid w:val="00566EBC"/>
    <w:rsid w:val="005672EA"/>
    <w:rsid w:val="00567500"/>
    <w:rsid w:val="0056753D"/>
    <w:rsid w:val="00567811"/>
    <w:rsid w:val="00567CDA"/>
    <w:rsid w:val="00570163"/>
    <w:rsid w:val="005701B3"/>
    <w:rsid w:val="005702BD"/>
    <w:rsid w:val="005704B1"/>
    <w:rsid w:val="00571868"/>
    <w:rsid w:val="005722C6"/>
    <w:rsid w:val="00572749"/>
    <w:rsid w:val="005733B7"/>
    <w:rsid w:val="00573569"/>
    <w:rsid w:val="005739F4"/>
    <w:rsid w:val="00573A7F"/>
    <w:rsid w:val="00573C2E"/>
    <w:rsid w:val="00573DD4"/>
    <w:rsid w:val="00573EE1"/>
    <w:rsid w:val="00573F02"/>
    <w:rsid w:val="00574022"/>
    <w:rsid w:val="0057406C"/>
    <w:rsid w:val="005744C0"/>
    <w:rsid w:val="00575051"/>
    <w:rsid w:val="005758E3"/>
    <w:rsid w:val="00575ED5"/>
    <w:rsid w:val="005763C8"/>
    <w:rsid w:val="005763D9"/>
    <w:rsid w:val="005765DD"/>
    <w:rsid w:val="00576B20"/>
    <w:rsid w:val="00576B51"/>
    <w:rsid w:val="00576D35"/>
    <w:rsid w:val="005777C8"/>
    <w:rsid w:val="00577AD5"/>
    <w:rsid w:val="00577F23"/>
    <w:rsid w:val="00580A72"/>
    <w:rsid w:val="00580D26"/>
    <w:rsid w:val="0058105D"/>
    <w:rsid w:val="0058107B"/>
    <w:rsid w:val="0058149F"/>
    <w:rsid w:val="0058161B"/>
    <w:rsid w:val="005817A5"/>
    <w:rsid w:val="00581DF3"/>
    <w:rsid w:val="00582021"/>
    <w:rsid w:val="0058230F"/>
    <w:rsid w:val="00582853"/>
    <w:rsid w:val="00582893"/>
    <w:rsid w:val="00582C76"/>
    <w:rsid w:val="00583071"/>
    <w:rsid w:val="00583A87"/>
    <w:rsid w:val="0058403B"/>
    <w:rsid w:val="00584081"/>
    <w:rsid w:val="005842BA"/>
    <w:rsid w:val="005843E6"/>
    <w:rsid w:val="005845FA"/>
    <w:rsid w:val="00584AC0"/>
    <w:rsid w:val="00584B76"/>
    <w:rsid w:val="00585B34"/>
    <w:rsid w:val="00585C21"/>
    <w:rsid w:val="005861F7"/>
    <w:rsid w:val="005874CD"/>
    <w:rsid w:val="00587597"/>
    <w:rsid w:val="00587BAE"/>
    <w:rsid w:val="00587FBC"/>
    <w:rsid w:val="00590D18"/>
    <w:rsid w:val="00590EDD"/>
    <w:rsid w:val="0059192E"/>
    <w:rsid w:val="00591988"/>
    <w:rsid w:val="005921C8"/>
    <w:rsid w:val="00592283"/>
    <w:rsid w:val="005922A3"/>
    <w:rsid w:val="0059239E"/>
    <w:rsid w:val="005924DB"/>
    <w:rsid w:val="005929E8"/>
    <w:rsid w:val="00592A2E"/>
    <w:rsid w:val="00593155"/>
    <w:rsid w:val="0059345B"/>
    <w:rsid w:val="0059353B"/>
    <w:rsid w:val="005938DB"/>
    <w:rsid w:val="00593B40"/>
    <w:rsid w:val="00593DEC"/>
    <w:rsid w:val="005949FB"/>
    <w:rsid w:val="00594C1A"/>
    <w:rsid w:val="00595106"/>
    <w:rsid w:val="00595422"/>
    <w:rsid w:val="00595692"/>
    <w:rsid w:val="00595B7B"/>
    <w:rsid w:val="00595B9B"/>
    <w:rsid w:val="00596020"/>
    <w:rsid w:val="0059632F"/>
    <w:rsid w:val="0059642A"/>
    <w:rsid w:val="0059706C"/>
    <w:rsid w:val="00597535"/>
    <w:rsid w:val="00597799"/>
    <w:rsid w:val="005977F9"/>
    <w:rsid w:val="00597BA8"/>
    <w:rsid w:val="00597CC1"/>
    <w:rsid w:val="005A01E7"/>
    <w:rsid w:val="005A02AB"/>
    <w:rsid w:val="005A02C8"/>
    <w:rsid w:val="005A09E5"/>
    <w:rsid w:val="005A13DF"/>
    <w:rsid w:val="005A1473"/>
    <w:rsid w:val="005A1532"/>
    <w:rsid w:val="005A19FF"/>
    <w:rsid w:val="005A2074"/>
    <w:rsid w:val="005A24AE"/>
    <w:rsid w:val="005A3045"/>
    <w:rsid w:val="005A3394"/>
    <w:rsid w:val="005A396E"/>
    <w:rsid w:val="005A403A"/>
    <w:rsid w:val="005A43BE"/>
    <w:rsid w:val="005A4624"/>
    <w:rsid w:val="005A5011"/>
    <w:rsid w:val="005A508D"/>
    <w:rsid w:val="005A512E"/>
    <w:rsid w:val="005A595F"/>
    <w:rsid w:val="005A60BA"/>
    <w:rsid w:val="005A6643"/>
    <w:rsid w:val="005A714C"/>
    <w:rsid w:val="005A74FB"/>
    <w:rsid w:val="005A761B"/>
    <w:rsid w:val="005B096F"/>
    <w:rsid w:val="005B0987"/>
    <w:rsid w:val="005B0E1C"/>
    <w:rsid w:val="005B0FA3"/>
    <w:rsid w:val="005B0FB5"/>
    <w:rsid w:val="005B1191"/>
    <w:rsid w:val="005B1205"/>
    <w:rsid w:val="005B162C"/>
    <w:rsid w:val="005B187F"/>
    <w:rsid w:val="005B1D3B"/>
    <w:rsid w:val="005B2088"/>
    <w:rsid w:val="005B2466"/>
    <w:rsid w:val="005B267F"/>
    <w:rsid w:val="005B27D1"/>
    <w:rsid w:val="005B2B72"/>
    <w:rsid w:val="005B2BBB"/>
    <w:rsid w:val="005B2BF5"/>
    <w:rsid w:val="005B2CB2"/>
    <w:rsid w:val="005B2D85"/>
    <w:rsid w:val="005B2FD3"/>
    <w:rsid w:val="005B41B3"/>
    <w:rsid w:val="005B4289"/>
    <w:rsid w:val="005B517D"/>
    <w:rsid w:val="005B5926"/>
    <w:rsid w:val="005B5A74"/>
    <w:rsid w:val="005B5DBE"/>
    <w:rsid w:val="005B66DA"/>
    <w:rsid w:val="005B6927"/>
    <w:rsid w:val="005B698D"/>
    <w:rsid w:val="005B6B33"/>
    <w:rsid w:val="005B6B72"/>
    <w:rsid w:val="005B6BFD"/>
    <w:rsid w:val="005B7331"/>
    <w:rsid w:val="005B75B6"/>
    <w:rsid w:val="005B7B05"/>
    <w:rsid w:val="005B7F6E"/>
    <w:rsid w:val="005C012A"/>
    <w:rsid w:val="005C0D41"/>
    <w:rsid w:val="005C12AC"/>
    <w:rsid w:val="005C1C90"/>
    <w:rsid w:val="005C1CEF"/>
    <w:rsid w:val="005C2465"/>
    <w:rsid w:val="005C3964"/>
    <w:rsid w:val="005C3D08"/>
    <w:rsid w:val="005C428A"/>
    <w:rsid w:val="005C4330"/>
    <w:rsid w:val="005C475B"/>
    <w:rsid w:val="005C4787"/>
    <w:rsid w:val="005C4D12"/>
    <w:rsid w:val="005C5113"/>
    <w:rsid w:val="005C54B8"/>
    <w:rsid w:val="005C557C"/>
    <w:rsid w:val="005C56B7"/>
    <w:rsid w:val="005C5CDF"/>
    <w:rsid w:val="005C61B0"/>
    <w:rsid w:val="005C66D8"/>
    <w:rsid w:val="005C677E"/>
    <w:rsid w:val="005C6CD0"/>
    <w:rsid w:val="005C7046"/>
    <w:rsid w:val="005C7072"/>
    <w:rsid w:val="005C785E"/>
    <w:rsid w:val="005C78D5"/>
    <w:rsid w:val="005D00B6"/>
    <w:rsid w:val="005D0F15"/>
    <w:rsid w:val="005D101F"/>
    <w:rsid w:val="005D1247"/>
    <w:rsid w:val="005D1836"/>
    <w:rsid w:val="005D1D60"/>
    <w:rsid w:val="005D205D"/>
    <w:rsid w:val="005D2CB2"/>
    <w:rsid w:val="005D2F54"/>
    <w:rsid w:val="005D2F8D"/>
    <w:rsid w:val="005D33D2"/>
    <w:rsid w:val="005D353D"/>
    <w:rsid w:val="005D3AEF"/>
    <w:rsid w:val="005D3FD5"/>
    <w:rsid w:val="005D4945"/>
    <w:rsid w:val="005D4EB4"/>
    <w:rsid w:val="005D5248"/>
    <w:rsid w:val="005D55F5"/>
    <w:rsid w:val="005D593D"/>
    <w:rsid w:val="005D5957"/>
    <w:rsid w:val="005D5ED2"/>
    <w:rsid w:val="005D63A5"/>
    <w:rsid w:val="005D69A4"/>
    <w:rsid w:val="005D79B5"/>
    <w:rsid w:val="005D7A99"/>
    <w:rsid w:val="005D7BDA"/>
    <w:rsid w:val="005D7E7D"/>
    <w:rsid w:val="005D7EA5"/>
    <w:rsid w:val="005E0056"/>
    <w:rsid w:val="005E02C5"/>
    <w:rsid w:val="005E0A1F"/>
    <w:rsid w:val="005E0DEA"/>
    <w:rsid w:val="005E1667"/>
    <w:rsid w:val="005E17B3"/>
    <w:rsid w:val="005E19CA"/>
    <w:rsid w:val="005E1BB5"/>
    <w:rsid w:val="005E1BD6"/>
    <w:rsid w:val="005E20D0"/>
    <w:rsid w:val="005E27CB"/>
    <w:rsid w:val="005E2A79"/>
    <w:rsid w:val="005E2D15"/>
    <w:rsid w:val="005E2EDB"/>
    <w:rsid w:val="005E2FB1"/>
    <w:rsid w:val="005E31B2"/>
    <w:rsid w:val="005E3850"/>
    <w:rsid w:val="005E3AFB"/>
    <w:rsid w:val="005E3EB4"/>
    <w:rsid w:val="005E40C8"/>
    <w:rsid w:val="005E43DF"/>
    <w:rsid w:val="005E48DE"/>
    <w:rsid w:val="005E566F"/>
    <w:rsid w:val="005E5EC3"/>
    <w:rsid w:val="005E64AF"/>
    <w:rsid w:val="005E6BE9"/>
    <w:rsid w:val="005E71A5"/>
    <w:rsid w:val="005E730F"/>
    <w:rsid w:val="005E777B"/>
    <w:rsid w:val="005F03D5"/>
    <w:rsid w:val="005F0860"/>
    <w:rsid w:val="005F14A7"/>
    <w:rsid w:val="005F1B20"/>
    <w:rsid w:val="005F1E18"/>
    <w:rsid w:val="005F244A"/>
    <w:rsid w:val="005F27E0"/>
    <w:rsid w:val="005F27E5"/>
    <w:rsid w:val="005F28C2"/>
    <w:rsid w:val="005F29C0"/>
    <w:rsid w:val="005F2A66"/>
    <w:rsid w:val="005F2B32"/>
    <w:rsid w:val="005F2D28"/>
    <w:rsid w:val="005F3176"/>
    <w:rsid w:val="005F3490"/>
    <w:rsid w:val="005F3549"/>
    <w:rsid w:val="005F3B6E"/>
    <w:rsid w:val="005F3D8C"/>
    <w:rsid w:val="005F456C"/>
    <w:rsid w:val="005F4599"/>
    <w:rsid w:val="005F4BF2"/>
    <w:rsid w:val="005F506A"/>
    <w:rsid w:val="005F5190"/>
    <w:rsid w:val="005F54B4"/>
    <w:rsid w:val="005F5576"/>
    <w:rsid w:val="005F5A4E"/>
    <w:rsid w:val="005F5A6F"/>
    <w:rsid w:val="005F5C6D"/>
    <w:rsid w:val="005F5E8E"/>
    <w:rsid w:val="005F5EF7"/>
    <w:rsid w:val="005F60E6"/>
    <w:rsid w:val="005F61DD"/>
    <w:rsid w:val="005F64FF"/>
    <w:rsid w:val="005F6662"/>
    <w:rsid w:val="005F764A"/>
    <w:rsid w:val="005F7E7A"/>
    <w:rsid w:val="0060008E"/>
    <w:rsid w:val="00600385"/>
    <w:rsid w:val="006005C1"/>
    <w:rsid w:val="006011A0"/>
    <w:rsid w:val="00602A78"/>
    <w:rsid w:val="00602BCA"/>
    <w:rsid w:val="00602F2C"/>
    <w:rsid w:val="0060305F"/>
    <w:rsid w:val="006034C7"/>
    <w:rsid w:val="006045A5"/>
    <w:rsid w:val="00604617"/>
    <w:rsid w:val="00604730"/>
    <w:rsid w:val="006049CE"/>
    <w:rsid w:val="00604AE3"/>
    <w:rsid w:val="00604D1B"/>
    <w:rsid w:val="006052A3"/>
    <w:rsid w:val="006053D8"/>
    <w:rsid w:val="006057CF"/>
    <w:rsid w:val="006059A0"/>
    <w:rsid w:val="00605A1A"/>
    <w:rsid w:val="00605D60"/>
    <w:rsid w:val="00606054"/>
    <w:rsid w:val="006060A9"/>
    <w:rsid w:val="0060611E"/>
    <w:rsid w:val="006063E0"/>
    <w:rsid w:val="00606906"/>
    <w:rsid w:val="00606EE7"/>
    <w:rsid w:val="00606F3B"/>
    <w:rsid w:val="00606F3D"/>
    <w:rsid w:val="00606FAA"/>
    <w:rsid w:val="00607720"/>
    <w:rsid w:val="00607C10"/>
    <w:rsid w:val="00610A9A"/>
    <w:rsid w:val="00611BA6"/>
    <w:rsid w:val="00612D19"/>
    <w:rsid w:val="0061330F"/>
    <w:rsid w:val="00613641"/>
    <w:rsid w:val="0061364F"/>
    <w:rsid w:val="006140BE"/>
    <w:rsid w:val="00614139"/>
    <w:rsid w:val="00614483"/>
    <w:rsid w:val="0061478C"/>
    <w:rsid w:val="006148EF"/>
    <w:rsid w:val="0061516E"/>
    <w:rsid w:val="006151BC"/>
    <w:rsid w:val="00615204"/>
    <w:rsid w:val="006154F0"/>
    <w:rsid w:val="00615E77"/>
    <w:rsid w:val="006162A3"/>
    <w:rsid w:val="00616A74"/>
    <w:rsid w:val="00616C7D"/>
    <w:rsid w:val="00616E85"/>
    <w:rsid w:val="0061716B"/>
    <w:rsid w:val="0061735F"/>
    <w:rsid w:val="0061742E"/>
    <w:rsid w:val="00617A8A"/>
    <w:rsid w:val="0062038E"/>
    <w:rsid w:val="006205E1"/>
    <w:rsid w:val="006208EE"/>
    <w:rsid w:val="0062091D"/>
    <w:rsid w:val="00620C44"/>
    <w:rsid w:val="0062100E"/>
    <w:rsid w:val="006211A5"/>
    <w:rsid w:val="006219BC"/>
    <w:rsid w:val="00621DD8"/>
    <w:rsid w:val="00622789"/>
    <w:rsid w:val="006233C1"/>
    <w:rsid w:val="006236D1"/>
    <w:rsid w:val="00624191"/>
    <w:rsid w:val="00624499"/>
    <w:rsid w:val="00624649"/>
    <w:rsid w:val="006249A7"/>
    <w:rsid w:val="006249D1"/>
    <w:rsid w:val="00624D4F"/>
    <w:rsid w:val="0062543B"/>
    <w:rsid w:val="00625713"/>
    <w:rsid w:val="0062583B"/>
    <w:rsid w:val="00625B22"/>
    <w:rsid w:val="00625B8D"/>
    <w:rsid w:val="00625C53"/>
    <w:rsid w:val="00625CF2"/>
    <w:rsid w:val="00626415"/>
    <w:rsid w:val="00626F92"/>
    <w:rsid w:val="006275C9"/>
    <w:rsid w:val="0062768B"/>
    <w:rsid w:val="00627A49"/>
    <w:rsid w:val="00627D60"/>
    <w:rsid w:val="00627E30"/>
    <w:rsid w:val="006303FC"/>
    <w:rsid w:val="00630666"/>
    <w:rsid w:val="006309D1"/>
    <w:rsid w:val="00630DDC"/>
    <w:rsid w:val="00630FAD"/>
    <w:rsid w:val="00631497"/>
    <w:rsid w:val="00631716"/>
    <w:rsid w:val="0063179F"/>
    <w:rsid w:val="006317A4"/>
    <w:rsid w:val="00632259"/>
    <w:rsid w:val="00632765"/>
    <w:rsid w:val="00632DD8"/>
    <w:rsid w:val="006338DA"/>
    <w:rsid w:val="0063390C"/>
    <w:rsid w:val="00633A5E"/>
    <w:rsid w:val="00633F74"/>
    <w:rsid w:val="00634B6B"/>
    <w:rsid w:val="00634D14"/>
    <w:rsid w:val="0063592A"/>
    <w:rsid w:val="00635AEB"/>
    <w:rsid w:val="00636CB6"/>
    <w:rsid w:val="00636D38"/>
    <w:rsid w:val="00636EF8"/>
    <w:rsid w:val="00636FEF"/>
    <w:rsid w:val="0063715F"/>
    <w:rsid w:val="006377DB"/>
    <w:rsid w:val="006405A2"/>
    <w:rsid w:val="00640699"/>
    <w:rsid w:val="0064096C"/>
    <w:rsid w:val="00641059"/>
    <w:rsid w:val="006417E0"/>
    <w:rsid w:val="006418D2"/>
    <w:rsid w:val="0064194A"/>
    <w:rsid w:val="006419D4"/>
    <w:rsid w:val="00641E1E"/>
    <w:rsid w:val="00642453"/>
    <w:rsid w:val="006430E1"/>
    <w:rsid w:val="006438C0"/>
    <w:rsid w:val="006443B2"/>
    <w:rsid w:val="00645210"/>
    <w:rsid w:val="00645933"/>
    <w:rsid w:val="006459B3"/>
    <w:rsid w:val="00645BDB"/>
    <w:rsid w:val="00645D39"/>
    <w:rsid w:val="00645D57"/>
    <w:rsid w:val="00645F8B"/>
    <w:rsid w:val="00646970"/>
    <w:rsid w:val="00646FDD"/>
    <w:rsid w:val="00647C38"/>
    <w:rsid w:val="00647D39"/>
    <w:rsid w:val="006500A2"/>
    <w:rsid w:val="006500D5"/>
    <w:rsid w:val="00650141"/>
    <w:rsid w:val="0065058D"/>
    <w:rsid w:val="00650C5E"/>
    <w:rsid w:val="00651147"/>
    <w:rsid w:val="0065131D"/>
    <w:rsid w:val="00651344"/>
    <w:rsid w:val="00651C4A"/>
    <w:rsid w:val="00651DC1"/>
    <w:rsid w:val="00651FD6"/>
    <w:rsid w:val="006522FE"/>
    <w:rsid w:val="0065234B"/>
    <w:rsid w:val="006523F4"/>
    <w:rsid w:val="0065252C"/>
    <w:rsid w:val="006539B7"/>
    <w:rsid w:val="00653AC4"/>
    <w:rsid w:val="00653C52"/>
    <w:rsid w:val="006540C1"/>
    <w:rsid w:val="0065460D"/>
    <w:rsid w:val="00654642"/>
    <w:rsid w:val="00654AF4"/>
    <w:rsid w:val="00654B0E"/>
    <w:rsid w:val="00654CB8"/>
    <w:rsid w:val="00655443"/>
    <w:rsid w:val="0065561D"/>
    <w:rsid w:val="0065572F"/>
    <w:rsid w:val="00655DAA"/>
    <w:rsid w:val="00655F61"/>
    <w:rsid w:val="006562F3"/>
    <w:rsid w:val="006565D3"/>
    <w:rsid w:val="00656AE0"/>
    <w:rsid w:val="00656F87"/>
    <w:rsid w:val="00656FC3"/>
    <w:rsid w:val="00656FFB"/>
    <w:rsid w:val="00657693"/>
    <w:rsid w:val="00657861"/>
    <w:rsid w:val="006579D9"/>
    <w:rsid w:val="00657B97"/>
    <w:rsid w:val="00657D8E"/>
    <w:rsid w:val="00660010"/>
    <w:rsid w:val="00660083"/>
    <w:rsid w:val="00660680"/>
    <w:rsid w:val="00660BFB"/>
    <w:rsid w:val="00660E23"/>
    <w:rsid w:val="0066255F"/>
    <w:rsid w:val="00662A70"/>
    <w:rsid w:val="00662AF9"/>
    <w:rsid w:val="00662C14"/>
    <w:rsid w:val="00662C97"/>
    <w:rsid w:val="00662CBB"/>
    <w:rsid w:val="00662F3E"/>
    <w:rsid w:val="0066308D"/>
    <w:rsid w:val="0066339C"/>
    <w:rsid w:val="0066398B"/>
    <w:rsid w:val="00663DA9"/>
    <w:rsid w:val="00663F53"/>
    <w:rsid w:val="00664178"/>
    <w:rsid w:val="0066486A"/>
    <w:rsid w:val="00664C16"/>
    <w:rsid w:val="00665140"/>
    <w:rsid w:val="0066527F"/>
    <w:rsid w:val="006655D8"/>
    <w:rsid w:val="00665C4F"/>
    <w:rsid w:val="00666754"/>
    <w:rsid w:val="00666AEA"/>
    <w:rsid w:val="0066768B"/>
    <w:rsid w:val="00667A5A"/>
    <w:rsid w:val="00667FB2"/>
    <w:rsid w:val="00670D2E"/>
    <w:rsid w:val="00671B1F"/>
    <w:rsid w:val="00672135"/>
    <w:rsid w:val="0067269F"/>
    <w:rsid w:val="006726CB"/>
    <w:rsid w:val="0067272F"/>
    <w:rsid w:val="00673521"/>
    <w:rsid w:val="0067396C"/>
    <w:rsid w:val="00673BA4"/>
    <w:rsid w:val="0067454C"/>
    <w:rsid w:val="0067499C"/>
    <w:rsid w:val="00674C5D"/>
    <w:rsid w:val="00674DC1"/>
    <w:rsid w:val="00674ED8"/>
    <w:rsid w:val="00675793"/>
    <w:rsid w:val="00675C5E"/>
    <w:rsid w:val="0067612E"/>
    <w:rsid w:val="00676F0B"/>
    <w:rsid w:val="0067729C"/>
    <w:rsid w:val="006773D1"/>
    <w:rsid w:val="00677747"/>
    <w:rsid w:val="006801BB"/>
    <w:rsid w:val="006802E3"/>
    <w:rsid w:val="0068088E"/>
    <w:rsid w:val="00680CC6"/>
    <w:rsid w:val="00681A6C"/>
    <w:rsid w:val="0068241B"/>
    <w:rsid w:val="00683889"/>
    <w:rsid w:val="006838E4"/>
    <w:rsid w:val="00683D4E"/>
    <w:rsid w:val="0068417C"/>
    <w:rsid w:val="006842A2"/>
    <w:rsid w:val="006848BB"/>
    <w:rsid w:val="00685075"/>
    <w:rsid w:val="006851AC"/>
    <w:rsid w:val="00685339"/>
    <w:rsid w:val="00685597"/>
    <w:rsid w:val="00686338"/>
    <w:rsid w:val="00687228"/>
    <w:rsid w:val="0068731C"/>
    <w:rsid w:val="006904AD"/>
    <w:rsid w:val="006905F1"/>
    <w:rsid w:val="006908C7"/>
    <w:rsid w:val="00690A41"/>
    <w:rsid w:val="00690C93"/>
    <w:rsid w:val="00690DD4"/>
    <w:rsid w:val="006912E6"/>
    <w:rsid w:val="006914E9"/>
    <w:rsid w:val="00691723"/>
    <w:rsid w:val="00691815"/>
    <w:rsid w:val="00691E51"/>
    <w:rsid w:val="006920CA"/>
    <w:rsid w:val="006927F0"/>
    <w:rsid w:val="00692C4E"/>
    <w:rsid w:val="006936DB"/>
    <w:rsid w:val="00693801"/>
    <w:rsid w:val="006944B8"/>
    <w:rsid w:val="00694706"/>
    <w:rsid w:val="00694DF8"/>
    <w:rsid w:val="006956E0"/>
    <w:rsid w:val="00695945"/>
    <w:rsid w:val="00695D95"/>
    <w:rsid w:val="00695DDA"/>
    <w:rsid w:val="00696136"/>
    <w:rsid w:val="00696243"/>
    <w:rsid w:val="006962E6"/>
    <w:rsid w:val="0069657D"/>
    <w:rsid w:val="00696A8E"/>
    <w:rsid w:val="00696B02"/>
    <w:rsid w:val="0069703E"/>
    <w:rsid w:val="00697208"/>
    <w:rsid w:val="006978DE"/>
    <w:rsid w:val="00697A32"/>
    <w:rsid w:val="006A0677"/>
    <w:rsid w:val="006A06E3"/>
    <w:rsid w:val="006A0ADB"/>
    <w:rsid w:val="006A0B03"/>
    <w:rsid w:val="006A0C6C"/>
    <w:rsid w:val="006A0ECA"/>
    <w:rsid w:val="006A0FDF"/>
    <w:rsid w:val="006A11F4"/>
    <w:rsid w:val="006A14A8"/>
    <w:rsid w:val="006A182D"/>
    <w:rsid w:val="006A1ADF"/>
    <w:rsid w:val="006A20D7"/>
    <w:rsid w:val="006A23AC"/>
    <w:rsid w:val="006A2835"/>
    <w:rsid w:val="006A35C6"/>
    <w:rsid w:val="006A3A19"/>
    <w:rsid w:val="006A3B9E"/>
    <w:rsid w:val="006A3D6D"/>
    <w:rsid w:val="006A3D73"/>
    <w:rsid w:val="006A413E"/>
    <w:rsid w:val="006A43EA"/>
    <w:rsid w:val="006A471A"/>
    <w:rsid w:val="006A4977"/>
    <w:rsid w:val="006A5290"/>
    <w:rsid w:val="006A777A"/>
    <w:rsid w:val="006A7AE9"/>
    <w:rsid w:val="006A7C9D"/>
    <w:rsid w:val="006A7E48"/>
    <w:rsid w:val="006B0264"/>
    <w:rsid w:val="006B1E59"/>
    <w:rsid w:val="006B1E5E"/>
    <w:rsid w:val="006B222B"/>
    <w:rsid w:val="006B2995"/>
    <w:rsid w:val="006B2BF4"/>
    <w:rsid w:val="006B2F13"/>
    <w:rsid w:val="006B2FDE"/>
    <w:rsid w:val="006B3EFD"/>
    <w:rsid w:val="006B40C8"/>
    <w:rsid w:val="006B472A"/>
    <w:rsid w:val="006B4989"/>
    <w:rsid w:val="006B5396"/>
    <w:rsid w:val="006B549F"/>
    <w:rsid w:val="006B65CB"/>
    <w:rsid w:val="006B765D"/>
    <w:rsid w:val="006C046B"/>
    <w:rsid w:val="006C0867"/>
    <w:rsid w:val="006C12F3"/>
    <w:rsid w:val="006C16A0"/>
    <w:rsid w:val="006C1887"/>
    <w:rsid w:val="006C1E4A"/>
    <w:rsid w:val="006C215A"/>
    <w:rsid w:val="006C2241"/>
    <w:rsid w:val="006C24C7"/>
    <w:rsid w:val="006C26EE"/>
    <w:rsid w:val="006C273C"/>
    <w:rsid w:val="006C2A71"/>
    <w:rsid w:val="006C2A99"/>
    <w:rsid w:val="006C2C0F"/>
    <w:rsid w:val="006C33B8"/>
    <w:rsid w:val="006C33EA"/>
    <w:rsid w:val="006C374A"/>
    <w:rsid w:val="006C3A0F"/>
    <w:rsid w:val="006C3DA6"/>
    <w:rsid w:val="006C46A7"/>
    <w:rsid w:val="006C472B"/>
    <w:rsid w:val="006C479E"/>
    <w:rsid w:val="006C4987"/>
    <w:rsid w:val="006C4CFD"/>
    <w:rsid w:val="006C561C"/>
    <w:rsid w:val="006C57FE"/>
    <w:rsid w:val="006C5AB5"/>
    <w:rsid w:val="006C6278"/>
    <w:rsid w:val="006C679C"/>
    <w:rsid w:val="006C6E36"/>
    <w:rsid w:val="006C705E"/>
    <w:rsid w:val="006C7216"/>
    <w:rsid w:val="006C7266"/>
    <w:rsid w:val="006C7340"/>
    <w:rsid w:val="006C799B"/>
    <w:rsid w:val="006C7C59"/>
    <w:rsid w:val="006C7FC0"/>
    <w:rsid w:val="006D045E"/>
    <w:rsid w:val="006D0B6D"/>
    <w:rsid w:val="006D0F0E"/>
    <w:rsid w:val="006D1549"/>
    <w:rsid w:val="006D16C4"/>
    <w:rsid w:val="006D1A5F"/>
    <w:rsid w:val="006D2C09"/>
    <w:rsid w:val="006D3006"/>
    <w:rsid w:val="006D3344"/>
    <w:rsid w:val="006D36F3"/>
    <w:rsid w:val="006D381C"/>
    <w:rsid w:val="006D39EA"/>
    <w:rsid w:val="006D3CE0"/>
    <w:rsid w:val="006D4499"/>
    <w:rsid w:val="006D45D2"/>
    <w:rsid w:val="006D4801"/>
    <w:rsid w:val="006D487E"/>
    <w:rsid w:val="006D4A33"/>
    <w:rsid w:val="006D4AAC"/>
    <w:rsid w:val="006D53DF"/>
    <w:rsid w:val="006D54F7"/>
    <w:rsid w:val="006D5604"/>
    <w:rsid w:val="006D5CDA"/>
    <w:rsid w:val="006D6CAB"/>
    <w:rsid w:val="006D6FFF"/>
    <w:rsid w:val="006D7831"/>
    <w:rsid w:val="006D7902"/>
    <w:rsid w:val="006D7C9D"/>
    <w:rsid w:val="006D7D85"/>
    <w:rsid w:val="006E045E"/>
    <w:rsid w:val="006E0725"/>
    <w:rsid w:val="006E0836"/>
    <w:rsid w:val="006E09E9"/>
    <w:rsid w:val="006E0B21"/>
    <w:rsid w:val="006E100C"/>
    <w:rsid w:val="006E171B"/>
    <w:rsid w:val="006E2C5B"/>
    <w:rsid w:val="006E2C6D"/>
    <w:rsid w:val="006E3302"/>
    <w:rsid w:val="006E33D2"/>
    <w:rsid w:val="006E374B"/>
    <w:rsid w:val="006E3A5B"/>
    <w:rsid w:val="006E3B50"/>
    <w:rsid w:val="006E417C"/>
    <w:rsid w:val="006E44D3"/>
    <w:rsid w:val="006E4705"/>
    <w:rsid w:val="006E470D"/>
    <w:rsid w:val="006E49DF"/>
    <w:rsid w:val="006E4E81"/>
    <w:rsid w:val="006E57EC"/>
    <w:rsid w:val="006E58CF"/>
    <w:rsid w:val="006E6241"/>
    <w:rsid w:val="006E645F"/>
    <w:rsid w:val="006E6F3D"/>
    <w:rsid w:val="006E7053"/>
    <w:rsid w:val="006E77DC"/>
    <w:rsid w:val="006F012A"/>
    <w:rsid w:val="006F023B"/>
    <w:rsid w:val="006F0740"/>
    <w:rsid w:val="006F08D7"/>
    <w:rsid w:val="006F0A7F"/>
    <w:rsid w:val="006F117D"/>
    <w:rsid w:val="006F1195"/>
    <w:rsid w:val="006F13A6"/>
    <w:rsid w:val="006F13F3"/>
    <w:rsid w:val="006F1DBD"/>
    <w:rsid w:val="006F1E00"/>
    <w:rsid w:val="006F2FFD"/>
    <w:rsid w:val="006F301F"/>
    <w:rsid w:val="006F311F"/>
    <w:rsid w:val="006F427F"/>
    <w:rsid w:val="006F5847"/>
    <w:rsid w:val="006F5B1A"/>
    <w:rsid w:val="006F5DD3"/>
    <w:rsid w:val="006F5F76"/>
    <w:rsid w:val="006F6790"/>
    <w:rsid w:val="00700821"/>
    <w:rsid w:val="007010A7"/>
    <w:rsid w:val="007011D1"/>
    <w:rsid w:val="007011D8"/>
    <w:rsid w:val="00702723"/>
    <w:rsid w:val="00702C1A"/>
    <w:rsid w:val="0070303A"/>
    <w:rsid w:val="007030B5"/>
    <w:rsid w:val="0070328F"/>
    <w:rsid w:val="00704346"/>
    <w:rsid w:val="00704464"/>
    <w:rsid w:val="00704527"/>
    <w:rsid w:val="0070522E"/>
    <w:rsid w:val="00705BD7"/>
    <w:rsid w:val="00705CC9"/>
    <w:rsid w:val="007061EC"/>
    <w:rsid w:val="00706461"/>
    <w:rsid w:val="007068C5"/>
    <w:rsid w:val="00706995"/>
    <w:rsid w:val="00706AA3"/>
    <w:rsid w:val="00706C3A"/>
    <w:rsid w:val="00706E1E"/>
    <w:rsid w:val="007071D4"/>
    <w:rsid w:val="007075FC"/>
    <w:rsid w:val="00707C37"/>
    <w:rsid w:val="00707D8B"/>
    <w:rsid w:val="00710164"/>
    <w:rsid w:val="00710167"/>
    <w:rsid w:val="00710595"/>
    <w:rsid w:val="00710870"/>
    <w:rsid w:val="007110B3"/>
    <w:rsid w:val="00712020"/>
    <w:rsid w:val="00712026"/>
    <w:rsid w:val="007121C0"/>
    <w:rsid w:val="00712553"/>
    <w:rsid w:val="00712638"/>
    <w:rsid w:val="0071276A"/>
    <w:rsid w:val="00712824"/>
    <w:rsid w:val="00712B22"/>
    <w:rsid w:val="00712D93"/>
    <w:rsid w:val="0071390A"/>
    <w:rsid w:val="007139BF"/>
    <w:rsid w:val="00713C11"/>
    <w:rsid w:val="00714383"/>
    <w:rsid w:val="00714A38"/>
    <w:rsid w:val="00714B10"/>
    <w:rsid w:val="00714B64"/>
    <w:rsid w:val="00714BA7"/>
    <w:rsid w:val="00714F03"/>
    <w:rsid w:val="00715B20"/>
    <w:rsid w:val="00715C06"/>
    <w:rsid w:val="00716D4E"/>
    <w:rsid w:val="00716FE8"/>
    <w:rsid w:val="0071717E"/>
    <w:rsid w:val="00720A2C"/>
    <w:rsid w:val="00720B85"/>
    <w:rsid w:val="00720C22"/>
    <w:rsid w:val="00720C6E"/>
    <w:rsid w:val="00720E58"/>
    <w:rsid w:val="00720E79"/>
    <w:rsid w:val="00721436"/>
    <w:rsid w:val="007215A1"/>
    <w:rsid w:val="0072207D"/>
    <w:rsid w:val="0072226B"/>
    <w:rsid w:val="00722BE6"/>
    <w:rsid w:val="00722CD9"/>
    <w:rsid w:val="00722EF9"/>
    <w:rsid w:val="007232F1"/>
    <w:rsid w:val="00723833"/>
    <w:rsid w:val="00723AE1"/>
    <w:rsid w:val="00723F60"/>
    <w:rsid w:val="0072454A"/>
    <w:rsid w:val="007245B1"/>
    <w:rsid w:val="00724746"/>
    <w:rsid w:val="0072482A"/>
    <w:rsid w:val="00724952"/>
    <w:rsid w:val="00724CD4"/>
    <w:rsid w:val="00725D1A"/>
    <w:rsid w:val="00725DF3"/>
    <w:rsid w:val="007263D9"/>
    <w:rsid w:val="00726B7D"/>
    <w:rsid w:val="00727285"/>
    <w:rsid w:val="00727380"/>
    <w:rsid w:val="0072771D"/>
    <w:rsid w:val="00727D91"/>
    <w:rsid w:val="00727E44"/>
    <w:rsid w:val="00730133"/>
    <w:rsid w:val="00730152"/>
    <w:rsid w:val="007301B7"/>
    <w:rsid w:val="0073071A"/>
    <w:rsid w:val="00730DD2"/>
    <w:rsid w:val="007310E4"/>
    <w:rsid w:val="00731129"/>
    <w:rsid w:val="00731243"/>
    <w:rsid w:val="00731500"/>
    <w:rsid w:val="007318B1"/>
    <w:rsid w:val="00732732"/>
    <w:rsid w:val="00732B0A"/>
    <w:rsid w:val="00733534"/>
    <w:rsid w:val="007337B7"/>
    <w:rsid w:val="0073397C"/>
    <w:rsid w:val="00734051"/>
    <w:rsid w:val="00734519"/>
    <w:rsid w:val="0073458B"/>
    <w:rsid w:val="00734B84"/>
    <w:rsid w:val="007359D0"/>
    <w:rsid w:val="00735EBF"/>
    <w:rsid w:val="007365ED"/>
    <w:rsid w:val="00736927"/>
    <w:rsid w:val="00737A4B"/>
    <w:rsid w:val="00737FC2"/>
    <w:rsid w:val="00740008"/>
    <w:rsid w:val="0074044B"/>
    <w:rsid w:val="007409A3"/>
    <w:rsid w:val="00741079"/>
    <w:rsid w:val="00741355"/>
    <w:rsid w:val="00741C56"/>
    <w:rsid w:val="00741C83"/>
    <w:rsid w:val="00741E9A"/>
    <w:rsid w:val="00741ED6"/>
    <w:rsid w:val="00742891"/>
    <w:rsid w:val="00742C3D"/>
    <w:rsid w:val="00742DAD"/>
    <w:rsid w:val="00743455"/>
    <w:rsid w:val="007435B8"/>
    <w:rsid w:val="0074368C"/>
    <w:rsid w:val="007444AE"/>
    <w:rsid w:val="007447C6"/>
    <w:rsid w:val="007449FE"/>
    <w:rsid w:val="00744CEC"/>
    <w:rsid w:val="00745A05"/>
    <w:rsid w:val="00745A07"/>
    <w:rsid w:val="00745D7D"/>
    <w:rsid w:val="00745D9A"/>
    <w:rsid w:val="00745F1E"/>
    <w:rsid w:val="00745F8E"/>
    <w:rsid w:val="00746564"/>
    <w:rsid w:val="00746721"/>
    <w:rsid w:val="00746C3A"/>
    <w:rsid w:val="00747741"/>
    <w:rsid w:val="00747B8B"/>
    <w:rsid w:val="007505F4"/>
    <w:rsid w:val="00750979"/>
    <w:rsid w:val="00751313"/>
    <w:rsid w:val="007514AA"/>
    <w:rsid w:val="00751760"/>
    <w:rsid w:val="007518C9"/>
    <w:rsid w:val="0075218A"/>
    <w:rsid w:val="00752238"/>
    <w:rsid w:val="00752B4A"/>
    <w:rsid w:val="00752B54"/>
    <w:rsid w:val="00752DE0"/>
    <w:rsid w:val="00752E14"/>
    <w:rsid w:val="0075306E"/>
    <w:rsid w:val="00753DA5"/>
    <w:rsid w:val="00754E53"/>
    <w:rsid w:val="0075502B"/>
    <w:rsid w:val="00755633"/>
    <w:rsid w:val="00755B6F"/>
    <w:rsid w:val="00756A17"/>
    <w:rsid w:val="00756A4E"/>
    <w:rsid w:val="00756B41"/>
    <w:rsid w:val="00756E42"/>
    <w:rsid w:val="0075747A"/>
    <w:rsid w:val="007576EC"/>
    <w:rsid w:val="00757957"/>
    <w:rsid w:val="007603BC"/>
    <w:rsid w:val="00760978"/>
    <w:rsid w:val="00760C8E"/>
    <w:rsid w:val="00760D42"/>
    <w:rsid w:val="007623B0"/>
    <w:rsid w:val="00762A7D"/>
    <w:rsid w:val="00763B9E"/>
    <w:rsid w:val="00764588"/>
    <w:rsid w:val="007646EF"/>
    <w:rsid w:val="007648FE"/>
    <w:rsid w:val="007649DC"/>
    <w:rsid w:val="00764B39"/>
    <w:rsid w:val="00765016"/>
    <w:rsid w:val="00765CB5"/>
    <w:rsid w:val="0076621E"/>
    <w:rsid w:val="00766261"/>
    <w:rsid w:val="007664EA"/>
    <w:rsid w:val="007667C4"/>
    <w:rsid w:val="00766E61"/>
    <w:rsid w:val="007670FC"/>
    <w:rsid w:val="00767282"/>
    <w:rsid w:val="00767847"/>
    <w:rsid w:val="007678B9"/>
    <w:rsid w:val="00767DDD"/>
    <w:rsid w:val="00767F7F"/>
    <w:rsid w:val="007703EA"/>
    <w:rsid w:val="00770C49"/>
    <w:rsid w:val="00770CEF"/>
    <w:rsid w:val="0077130E"/>
    <w:rsid w:val="007713D7"/>
    <w:rsid w:val="00771BF6"/>
    <w:rsid w:val="00771D21"/>
    <w:rsid w:val="00772162"/>
    <w:rsid w:val="007721AB"/>
    <w:rsid w:val="0077249A"/>
    <w:rsid w:val="0077262C"/>
    <w:rsid w:val="00772A29"/>
    <w:rsid w:val="00773B3E"/>
    <w:rsid w:val="00773E65"/>
    <w:rsid w:val="007741B0"/>
    <w:rsid w:val="0077429E"/>
    <w:rsid w:val="007743C4"/>
    <w:rsid w:val="007745D3"/>
    <w:rsid w:val="007746DC"/>
    <w:rsid w:val="007751EA"/>
    <w:rsid w:val="0077558B"/>
    <w:rsid w:val="007756A9"/>
    <w:rsid w:val="007756E4"/>
    <w:rsid w:val="00776874"/>
    <w:rsid w:val="0077726C"/>
    <w:rsid w:val="007774A7"/>
    <w:rsid w:val="00777AAB"/>
    <w:rsid w:val="007803ED"/>
    <w:rsid w:val="00780FF9"/>
    <w:rsid w:val="007814CB"/>
    <w:rsid w:val="00781B1E"/>
    <w:rsid w:val="0078285C"/>
    <w:rsid w:val="00782B30"/>
    <w:rsid w:val="0078384F"/>
    <w:rsid w:val="00783A36"/>
    <w:rsid w:val="00783F98"/>
    <w:rsid w:val="007842DD"/>
    <w:rsid w:val="0078437B"/>
    <w:rsid w:val="007843CF"/>
    <w:rsid w:val="0078450E"/>
    <w:rsid w:val="007845D4"/>
    <w:rsid w:val="007846B5"/>
    <w:rsid w:val="00784DF0"/>
    <w:rsid w:val="00785A38"/>
    <w:rsid w:val="00785C2A"/>
    <w:rsid w:val="007864D8"/>
    <w:rsid w:val="0078668F"/>
    <w:rsid w:val="00786C0E"/>
    <w:rsid w:val="0078700E"/>
    <w:rsid w:val="00787339"/>
    <w:rsid w:val="00787748"/>
    <w:rsid w:val="00787858"/>
    <w:rsid w:val="00787B59"/>
    <w:rsid w:val="007900A9"/>
    <w:rsid w:val="007910C3"/>
    <w:rsid w:val="00791110"/>
    <w:rsid w:val="00791250"/>
    <w:rsid w:val="0079150D"/>
    <w:rsid w:val="007917CE"/>
    <w:rsid w:val="00791DE1"/>
    <w:rsid w:val="00791EFA"/>
    <w:rsid w:val="00793181"/>
    <w:rsid w:val="007936BD"/>
    <w:rsid w:val="007936C1"/>
    <w:rsid w:val="00793B70"/>
    <w:rsid w:val="00793D45"/>
    <w:rsid w:val="007944A2"/>
    <w:rsid w:val="00795526"/>
    <w:rsid w:val="00795E20"/>
    <w:rsid w:val="007965E2"/>
    <w:rsid w:val="007966B4"/>
    <w:rsid w:val="00796787"/>
    <w:rsid w:val="0079719A"/>
    <w:rsid w:val="007975BD"/>
    <w:rsid w:val="00797B7E"/>
    <w:rsid w:val="007A05A2"/>
    <w:rsid w:val="007A10D6"/>
    <w:rsid w:val="007A12EE"/>
    <w:rsid w:val="007A138C"/>
    <w:rsid w:val="007A1834"/>
    <w:rsid w:val="007A1856"/>
    <w:rsid w:val="007A19F0"/>
    <w:rsid w:val="007A1E52"/>
    <w:rsid w:val="007A2074"/>
    <w:rsid w:val="007A22B1"/>
    <w:rsid w:val="007A2A4D"/>
    <w:rsid w:val="007A31B2"/>
    <w:rsid w:val="007A3629"/>
    <w:rsid w:val="007A373F"/>
    <w:rsid w:val="007A385C"/>
    <w:rsid w:val="007A38F5"/>
    <w:rsid w:val="007A3D24"/>
    <w:rsid w:val="007A40D7"/>
    <w:rsid w:val="007A43BA"/>
    <w:rsid w:val="007A45A0"/>
    <w:rsid w:val="007A4860"/>
    <w:rsid w:val="007A4B77"/>
    <w:rsid w:val="007A4CAF"/>
    <w:rsid w:val="007A4F7B"/>
    <w:rsid w:val="007A4FCB"/>
    <w:rsid w:val="007A61E4"/>
    <w:rsid w:val="007A704A"/>
    <w:rsid w:val="007A7242"/>
    <w:rsid w:val="007B12B0"/>
    <w:rsid w:val="007B1392"/>
    <w:rsid w:val="007B1731"/>
    <w:rsid w:val="007B1785"/>
    <w:rsid w:val="007B198B"/>
    <w:rsid w:val="007B215A"/>
    <w:rsid w:val="007B22DC"/>
    <w:rsid w:val="007B24F0"/>
    <w:rsid w:val="007B2A9E"/>
    <w:rsid w:val="007B327E"/>
    <w:rsid w:val="007B34DC"/>
    <w:rsid w:val="007B3A98"/>
    <w:rsid w:val="007B4008"/>
    <w:rsid w:val="007B459C"/>
    <w:rsid w:val="007B45BF"/>
    <w:rsid w:val="007B49C4"/>
    <w:rsid w:val="007B4B91"/>
    <w:rsid w:val="007B4D74"/>
    <w:rsid w:val="007B4DC6"/>
    <w:rsid w:val="007B5132"/>
    <w:rsid w:val="007B5869"/>
    <w:rsid w:val="007B5970"/>
    <w:rsid w:val="007B5B9E"/>
    <w:rsid w:val="007B69E8"/>
    <w:rsid w:val="007B6C17"/>
    <w:rsid w:val="007B6D15"/>
    <w:rsid w:val="007B743C"/>
    <w:rsid w:val="007C0165"/>
    <w:rsid w:val="007C048B"/>
    <w:rsid w:val="007C0508"/>
    <w:rsid w:val="007C057E"/>
    <w:rsid w:val="007C1298"/>
    <w:rsid w:val="007C1541"/>
    <w:rsid w:val="007C19DF"/>
    <w:rsid w:val="007C20CC"/>
    <w:rsid w:val="007C25F8"/>
    <w:rsid w:val="007C2E72"/>
    <w:rsid w:val="007C371B"/>
    <w:rsid w:val="007C408A"/>
    <w:rsid w:val="007C44DC"/>
    <w:rsid w:val="007C4545"/>
    <w:rsid w:val="007C45F7"/>
    <w:rsid w:val="007C46D1"/>
    <w:rsid w:val="007C47C2"/>
    <w:rsid w:val="007C4822"/>
    <w:rsid w:val="007C4DEF"/>
    <w:rsid w:val="007C5468"/>
    <w:rsid w:val="007C55F1"/>
    <w:rsid w:val="007C58AB"/>
    <w:rsid w:val="007C6148"/>
    <w:rsid w:val="007C6900"/>
    <w:rsid w:val="007C6970"/>
    <w:rsid w:val="007C69A9"/>
    <w:rsid w:val="007C6C60"/>
    <w:rsid w:val="007C6D07"/>
    <w:rsid w:val="007C745C"/>
    <w:rsid w:val="007C7578"/>
    <w:rsid w:val="007C7E7C"/>
    <w:rsid w:val="007C7F4C"/>
    <w:rsid w:val="007D065E"/>
    <w:rsid w:val="007D0A94"/>
    <w:rsid w:val="007D0B22"/>
    <w:rsid w:val="007D0BD6"/>
    <w:rsid w:val="007D0C90"/>
    <w:rsid w:val="007D0D5B"/>
    <w:rsid w:val="007D143D"/>
    <w:rsid w:val="007D25B9"/>
    <w:rsid w:val="007D2BE8"/>
    <w:rsid w:val="007D3066"/>
    <w:rsid w:val="007D3269"/>
    <w:rsid w:val="007D37CA"/>
    <w:rsid w:val="007D421B"/>
    <w:rsid w:val="007D4490"/>
    <w:rsid w:val="007D4579"/>
    <w:rsid w:val="007D4958"/>
    <w:rsid w:val="007D51EB"/>
    <w:rsid w:val="007D58BB"/>
    <w:rsid w:val="007D63DD"/>
    <w:rsid w:val="007D646A"/>
    <w:rsid w:val="007D6835"/>
    <w:rsid w:val="007D6A93"/>
    <w:rsid w:val="007D7CDE"/>
    <w:rsid w:val="007D7DC7"/>
    <w:rsid w:val="007E01AF"/>
    <w:rsid w:val="007E0772"/>
    <w:rsid w:val="007E0D31"/>
    <w:rsid w:val="007E0D6A"/>
    <w:rsid w:val="007E0E04"/>
    <w:rsid w:val="007E0EF9"/>
    <w:rsid w:val="007E1B80"/>
    <w:rsid w:val="007E21D9"/>
    <w:rsid w:val="007E244C"/>
    <w:rsid w:val="007E2BDD"/>
    <w:rsid w:val="007E361E"/>
    <w:rsid w:val="007E45CA"/>
    <w:rsid w:val="007E48C0"/>
    <w:rsid w:val="007E5885"/>
    <w:rsid w:val="007E58B1"/>
    <w:rsid w:val="007E61B7"/>
    <w:rsid w:val="007E64FF"/>
    <w:rsid w:val="007E6F62"/>
    <w:rsid w:val="007E6FEA"/>
    <w:rsid w:val="007E7C7B"/>
    <w:rsid w:val="007E7E0F"/>
    <w:rsid w:val="007E7F8F"/>
    <w:rsid w:val="007F015E"/>
    <w:rsid w:val="007F0CC2"/>
    <w:rsid w:val="007F0CF9"/>
    <w:rsid w:val="007F0D5C"/>
    <w:rsid w:val="007F1160"/>
    <w:rsid w:val="007F21B0"/>
    <w:rsid w:val="007F2A29"/>
    <w:rsid w:val="007F2DE9"/>
    <w:rsid w:val="007F341B"/>
    <w:rsid w:val="007F3682"/>
    <w:rsid w:val="007F3AA2"/>
    <w:rsid w:val="007F3B45"/>
    <w:rsid w:val="007F3E3E"/>
    <w:rsid w:val="007F3F07"/>
    <w:rsid w:val="007F4A9E"/>
    <w:rsid w:val="007F4ABC"/>
    <w:rsid w:val="007F4D45"/>
    <w:rsid w:val="007F510F"/>
    <w:rsid w:val="007F545B"/>
    <w:rsid w:val="007F5891"/>
    <w:rsid w:val="007F59B2"/>
    <w:rsid w:val="007F61CB"/>
    <w:rsid w:val="007F6607"/>
    <w:rsid w:val="007F6CEC"/>
    <w:rsid w:val="007F7127"/>
    <w:rsid w:val="007F7865"/>
    <w:rsid w:val="007F7A1A"/>
    <w:rsid w:val="007F7F5B"/>
    <w:rsid w:val="007F7FB3"/>
    <w:rsid w:val="0080013D"/>
    <w:rsid w:val="0080026A"/>
    <w:rsid w:val="00800340"/>
    <w:rsid w:val="00800953"/>
    <w:rsid w:val="00801255"/>
    <w:rsid w:val="0080197B"/>
    <w:rsid w:val="00801C1F"/>
    <w:rsid w:val="008021D3"/>
    <w:rsid w:val="00802849"/>
    <w:rsid w:val="00802971"/>
    <w:rsid w:val="00802AC0"/>
    <w:rsid w:val="00803522"/>
    <w:rsid w:val="008035CC"/>
    <w:rsid w:val="008038E3"/>
    <w:rsid w:val="008038F6"/>
    <w:rsid w:val="00803B7F"/>
    <w:rsid w:val="00804558"/>
    <w:rsid w:val="008047AE"/>
    <w:rsid w:val="00804853"/>
    <w:rsid w:val="00804B21"/>
    <w:rsid w:val="00805483"/>
    <w:rsid w:val="0080585D"/>
    <w:rsid w:val="00805B51"/>
    <w:rsid w:val="00806208"/>
    <w:rsid w:val="00806273"/>
    <w:rsid w:val="0080661F"/>
    <w:rsid w:val="00806812"/>
    <w:rsid w:val="00806B4D"/>
    <w:rsid w:val="00806CB1"/>
    <w:rsid w:val="00806EFD"/>
    <w:rsid w:val="00807074"/>
    <w:rsid w:val="00807D7A"/>
    <w:rsid w:val="00807E43"/>
    <w:rsid w:val="00807F69"/>
    <w:rsid w:val="00810258"/>
    <w:rsid w:val="00810368"/>
    <w:rsid w:val="008108B5"/>
    <w:rsid w:val="00810BE7"/>
    <w:rsid w:val="00810D5F"/>
    <w:rsid w:val="00811336"/>
    <w:rsid w:val="0081165D"/>
    <w:rsid w:val="00811B28"/>
    <w:rsid w:val="008123CC"/>
    <w:rsid w:val="00812862"/>
    <w:rsid w:val="00812A7A"/>
    <w:rsid w:val="0081362B"/>
    <w:rsid w:val="008142BC"/>
    <w:rsid w:val="0081450B"/>
    <w:rsid w:val="0081467F"/>
    <w:rsid w:val="00814785"/>
    <w:rsid w:val="0081503C"/>
    <w:rsid w:val="00815339"/>
    <w:rsid w:val="008153AD"/>
    <w:rsid w:val="008154F1"/>
    <w:rsid w:val="00815559"/>
    <w:rsid w:val="0081591F"/>
    <w:rsid w:val="00815A99"/>
    <w:rsid w:val="00815E5B"/>
    <w:rsid w:val="008160D1"/>
    <w:rsid w:val="008162B3"/>
    <w:rsid w:val="0081640D"/>
    <w:rsid w:val="0081687A"/>
    <w:rsid w:val="008169A1"/>
    <w:rsid w:val="00817FA5"/>
    <w:rsid w:val="00820009"/>
    <w:rsid w:val="00820160"/>
    <w:rsid w:val="0082022B"/>
    <w:rsid w:val="00820E0E"/>
    <w:rsid w:val="00821237"/>
    <w:rsid w:val="00821406"/>
    <w:rsid w:val="0082146A"/>
    <w:rsid w:val="008216DA"/>
    <w:rsid w:val="008217C3"/>
    <w:rsid w:val="00821868"/>
    <w:rsid w:val="008219B8"/>
    <w:rsid w:val="00821ECA"/>
    <w:rsid w:val="00822414"/>
    <w:rsid w:val="008224E6"/>
    <w:rsid w:val="00822ABD"/>
    <w:rsid w:val="00822CB9"/>
    <w:rsid w:val="00822E2C"/>
    <w:rsid w:val="00823116"/>
    <w:rsid w:val="0082350E"/>
    <w:rsid w:val="00823658"/>
    <w:rsid w:val="008239BF"/>
    <w:rsid w:val="00823B36"/>
    <w:rsid w:val="00823BA4"/>
    <w:rsid w:val="0082488C"/>
    <w:rsid w:val="00824E06"/>
    <w:rsid w:val="008251E7"/>
    <w:rsid w:val="00825417"/>
    <w:rsid w:val="008262BC"/>
    <w:rsid w:val="008263D5"/>
    <w:rsid w:val="008266A2"/>
    <w:rsid w:val="008267AE"/>
    <w:rsid w:val="00826975"/>
    <w:rsid w:val="00830B33"/>
    <w:rsid w:val="00830E0A"/>
    <w:rsid w:val="0083118A"/>
    <w:rsid w:val="00831784"/>
    <w:rsid w:val="008323C2"/>
    <w:rsid w:val="00832727"/>
    <w:rsid w:val="008327DC"/>
    <w:rsid w:val="0083366D"/>
    <w:rsid w:val="008337C1"/>
    <w:rsid w:val="00833C57"/>
    <w:rsid w:val="00834F23"/>
    <w:rsid w:val="008353B6"/>
    <w:rsid w:val="0083554A"/>
    <w:rsid w:val="00835AD3"/>
    <w:rsid w:val="00835E4E"/>
    <w:rsid w:val="00836A67"/>
    <w:rsid w:val="00836CEB"/>
    <w:rsid w:val="00840EAF"/>
    <w:rsid w:val="008416BF"/>
    <w:rsid w:val="008416FD"/>
    <w:rsid w:val="0084188F"/>
    <w:rsid w:val="00842659"/>
    <w:rsid w:val="0084293A"/>
    <w:rsid w:val="0084354C"/>
    <w:rsid w:val="0084375D"/>
    <w:rsid w:val="00843A7F"/>
    <w:rsid w:val="0084416F"/>
    <w:rsid w:val="00844266"/>
    <w:rsid w:val="00844462"/>
    <w:rsid w:val="0084458F"/>
    <w:rsid w:val="008449FE"/>
    <w:rsid w:val="00844AF3"/>
    <w:rsid w:val="00844FF9"/>
    <w:rsid w:val="008453CA"/>
    <w:rsid w:val="00845515"/>
    <w:rsid w:val="00845520"/>
    <w:rsid w:val="00845CAB"/>
    <w:rsid w:val="00845FC4"/>
    <w:rsid w:val="008461B0"/>
    <w:rsid w:val="0084674B"/>
    <w:rsid w:val="00846870"/>
    <w:rsid w:val="00846BAE"/>
    <w:rsid w:val="00846C9F"/>
    <w:rsid w:val="00846D16"/>
    <w:rsid w:val="00846F4C"/>
    <w:rsid w:val="00847652"/>
    <w:rsid w:val="00847DB7"/>
    <w:rsid w:val="0085044B"/>
    <w:rsid w:val="00850EE1"/>
    <w:rsid w:val="0085123E"/>
    <w:rsid w:val="0085165B"/>
    <w:rsid w:val="0085179C"/>
    <w:rsid w:val="008518FA"/>
    <w:rsid w:val="00851903"/>
    <w:rsid w:val="0085198C"/>
    <w:rsid w:val="00851B11"/>
    <w:rsid w:val="00851B3F"/>
    <w:rsid w:val="00851DCB"/>
    <w:rsid w:val="00851E0C"/>
    <w:rsid w:val="00851F5F"/>
    <w:rsid w:val="00852142"/>
    <w:rsid w:val="008528CF"/>
    <w:rsid w:val="00853510"/>
    <w:rsid w:val="00853E5B"/>
    <w:rsid w:val="00854123"/>
    <w:rsid w:val="008542D1"/>
    <w:rsid w:val="00854465"/>
    <w:rsid w:val="008544BD"/>
    <w:rsid w:val="00854946"/>
    <w:rsid w:val="00854B62"/>
    <w:rsid w:val="00854B77"/>
    <w:rsid w:val="00854E58"/>
    <w:rsid w:val="00855317"/>
    <w:rsid w:val="008555A5"/>
    <w:rsid w:val="008558ED"/>
    <w:rsid w:val="0085593B"/>
    <w:rsid w:val="00855CFC"/>
    <w:rsid w:val="00855FD5"/>
    <w:rsid w:val="00856049"/>
    <w:rsid w:val="0085632A"/>
    <w:rsid w:val="0085637B"/>
    <w:rsid w:val="00856673"/>
    <w:rsid w:val="008568BB"/>
    <w:rsid w:val="00856E96"/>
    <w:rsid w:val="0085726D"/>
    <w:rsid w:val="00857822"/>
    <w:rsid w:val="00857C93"/>
    <w:rsid w:val="00860D51"/>
    <w:rsid w:val="008611C1"/>
    <w:rsid w:val="0086151A"/>
    <w:rsid w:val="00861656"/>
    <w:rsid w:val="0086173C"/>
    <w:rsid w:val="00861DA4"/>
    <w:rsid w:val="008621DD"/>
    <w:rsid w:val="00862330"/>
    <w:rsid w:val="0086264B"/>
    <w:rsid w:val="008626E9"/>
    <w:rsid w:val="008626EB"/>
    <w:rsid w:val="00862D7C"/>
    <w:rsid w:val="00862EFD"/>
    <w:rsid w:val="00863015"/>
    <w:rsid w:val="008638FB"/>
    <w:rsid w:val="00863AFD"/>
    <w:rsid w:val="0086444C"/>
    <w:rsid w:val="008644B1"/>
    <w:rsid w:val="00864768"/>
    <w:rsid w:val="00864AF6"/>
    <w:rsid w:val="008658AB"/>
    <w:rsid w:val="00865B18"/>
    <w:rsid w:val="00866084"/>
    <w:rsid w:val="0086672E"/>
    <w:rsid w:val="00866921"/>
    <w:rsid w:val="00866CF2"/>
    <w:rsid w:val="008675EC"/>
    <w:rsid w:val="008678AF"/>
    <w:rsid w:val="008679CE"/>
    <w:rsid w:val="00867DA7"/>
    <w:rsid w:val="00870116"/>
    <w:rsid w:val="008705A8"/>
    <w:rsid w:val="008706EC"/>
    <w:rsid w:val="008706FC"/>
    <w:rsid w:val="00870848"/>
    <w:rsid w:val="008711C4"/>
    <w:rsid w:val="00871253"/>
    <w:rsid w:val="008718FC"/>
    <w:rsid w:val="00871A2D"/>
    <w:rsid w:val="00871B59"/>
    <w:rsid w:val="00871CC2"/>
    <w:rsid w:val="00871F4F"/>
    <w:rsid w:val="0087200D"/>
    <w:rsid w:val="00872131"/>
    <w:rsid w:val="008723B8"/>
    <w:rsid w:val="008725F5"/>
    <w:rsid w:val="00873147"/>
    <w:rsid w:val="00873664"/>
    <w:rsid w:val="00873C1E"/>
    <w:rsid w:val="00873CD6"/>
    <w:rsid w:val="00873DE6"/>
    <w:rsid w:val="00873FBF"/>
    <w:rsid w:val="00874178"/>
    <w:rsid w:val="00874272"/>
    <w:rsid w:val="008743DF"/>
    <w:rsid w:val="00874C66"/>
    <w:rsid w:val="00874F67"/>
    <w:rsid w:val="00875F4F"/>
    <w:rsid w:val="008762D8"/>
    <w:rsid w:val="008772D9"/>
    <w:rsid w:val="008775BD"/>
    <w:rsid w:val="00877B29"/>
    <w:rsid w:val="008808B9"/>
    <w:rsid w:val="00880B30"/>
    <w:rsid w:val="00880F1D"/>
    <w:rsid w:val="008814B1"/>
    <w:rsid w:val="0088172A"/>
    <w:rsid w:val="00881F90"/>
    <w:rsid w:val="00882CA8"/>
    <w:rsid w:val="00883548"/>
    <w:rsid w:val="0088515B"/>
    <w:rsid w:val="008851C4"/>
    <w:rsid w:val="008851D3"/>
    <w:rsid w:val="00885696"/>
    <w:rsid w:val="0088570A"/>
    <w:rsid w:val="00885E9D"/>
    <w:rsid w:val="0088632A"/>
    <w:rsid w:val="0088636E"/>
    <w:rsid w:val="008864A7"/>
    <w:rsid w:val="0088666A"/>
    <w:rsid w:val="00886837"/>
    <w:rsid w:val="0088688A"/>
    <w:rsid w:val="008868CD"/>
    <w:rsid w:val="00886A9E"/>
    <w:rsid w:val="00886DC9"/>
    <w:rsid w:val="00886EC7"/>
    <w:rsid w:val="00887184"/>
    <w:rsid w:val="008875D5"/>
    <w:rsid w:val="0088761D"/>
    <w:rsid w:val="008879EA"/>
    <w:rsid w:val="00887AE6"/>
    <w:rsid w:val="00890139"/>
    <w:rsid w:val="008906E5"/>
    <w:rsid w:val="00890966"/>
    <w:rsid w:val="00891494"/>
    <w:rsid w:val="0089160E"/>
    <w:rsid w:val="008921B1"/>
    <w:rsid w:val="00892687"/>
    <w:rsid w:val="00892C9B"/>
    <w:rsid w:val="00892F3F"/>
    <w:rsid w:val="00893386"/>
    <w:rsid w:val="0089363C"/>
    <w:rsid w:val="00893657"/>
    <w:rsid w:val="00893671"/>
    <w:rsid w:val="008941FB"/>
    <w:rsid w:val="00894565"/>
    <w:rsid w:val="008950D6"/>
    <w:rsid w:val="00895B46"/>
    <w:rsid w:val="0089625E"/>
    <w:rsid w:val="00896474"/>
    <w:rsid w:val="00896603"/>
    <w:rsid w:val="008969B9"/>
    <w:rsid w:val="00896DBC"/>
    <w:rsid w:val="00897018"/>
    <w:rsid w:val="0089744F"/>
    <w:rsid w:val="00897809"/>
    <w:rsid w:val="00897B59"/>
    <w:rsid w:val="00897C6C"/>
    <w:rsid w:val="00897D1A"/>
    <w:rsid w:val="008A0905"/>
    <w:rsid w:val="008A091F"/>
    <w:rsid w:val="008A09D1"/>
    <w:rsid w:val="008A0B02"/>
    <w:rsid w:val="008A0E0D"/>
    <w:rsid w:val="008A155C"/>
    <w:rsid w:val="008A180E"/>
    <w:rsid w:val="008A197C"/>
    <w:rsid w:val="008A2545"/>
    <w:rsid w:val="008A2559"/>
    <w:rsid w:val="008A2636"/>
    <w:rsid w:val="008A28CA"/>
    <w:rsid w:val="008A35DB"/>
    <w:rsid w:val="008A3AF9"/>
    <w:rsid w:val="008A3FBE"/>
    <w:rsid w:val="008A4013"/>
    <w:rsid w:val="008A4C9C"/>
    <w:rsid w:val="008A58AE"/>
    <w:rsid w:val="008A6041"/>
    <w:rsid w:val="008A60F8"/>
    <w:rsid w:val="008A690C"/>
    <w:rsid w:val="008A69FE"/>
    <w:rsid w:val="008A6EC7"/>
    <w:rsid w:val="008A6F36"/>
    <w:rsid w:val="008A7286"/>
    <w:rsid w:val="008A7A12"/>
    <w:rsid w:val="008A7B50"/>
    <w:rsid w:val="008B00EA"/>
    <w:rsid w:val="008B0641"/>
    <w:rsid w:val="008B0EB7"/>
    <w:rsid w:val="008B138E"/>
    <w:rsid w:val="008B1C78"/>
    <w:rsid w:val="008B1F87"/>
    <w:rsid w:val="008B28BD"/>
    <w:rsid w:val="008B2E96"/>
    <w:rsid w:val="008B2F53"/>
    <w:rsid w:val="008B3006"/>
    <w:rsid w:val="008B3139"/>
    <w:rsid w:val="008B35B8"/>
    <w:rsid w:val="008B3B50"/>
    <w:rsid w:val="008B3D47"/>
    <w:rsid w:val="008B4195"/>
    <w:rsid w:val="008B44CB"/>
    <w:rsid w:val="008B46D2"/>
    <w:rsid w:val="008B482B"/>
    <w:rsid w:val="008B5253"/>
    <w:rsid w:val="008B53D8"/>
    <w:rsid w:val="008B59FF"/>
    <w:rsid w:val="008B63BE"/>
    <w:rsid w:val="008B640E"/>
    <w:rsid w:val="008B6505"/>
    <w:rsid w:val="008B688D"/>
    <w:rsid w:val="008B6AE7"/>
    <w:rsid w:val="008B70EE"/>
    <w:rsid w:val="008B715C"/>
    <w:rsid w:val="008B73E2"/>
    <w:rsid w:val="008B75B8"/>
    <w:rsid w:val="008B778A"/>
    <w:rsid w:val="008B783F"/>
    <w:rsid w:val="008B7D23"/>
    <w:rsid w:val="008C0CAD"/>
    <w:rsid w:val="008C0EAD"/>
    <w:rsid w:val="008C1442"/>
    <w:rsid w:val="008C1693"/>
    <w:rsid w:val="008C19D9"/>
    <w:rsid w:val="008C1A5E"/>
    <w:rsid w:val="008C1A81"/>
    <w:rsid w:val="008C1C13"/>
    <w:rsid w:val="008C290E"/>
    <w:rsid w:val="008C29FE"/>
    <w:rsid w:val="008C32CA"/>
    <w:rsid w:val="008C3967"/>
    <w:rsid w:val="008C431E"/>
    <w:rsid w:val="008C5011"/>
    <w:rsid w:val="008C54BD"/>
    <w:rsid w:val="008C54C4"/>
    <w:rsid w:val="008C6056"/>
    <w:rsid w:val="008C61A4"/>
    <w:rsid w:val="008C6228"/>
    <w:rsid w:val="008C6628"/>
    <w:rsid w:val="008C69C9"/>
    <w:rsid w:val="008C6E38"/>
    <w:rsid w:val="008C6F75"/>
    <w:rsid w:val="008C78B5"/>
    <w:rsid w:val="008C7B4A"/>
    <w:rsid w:val="008C7C18"/>
    <w:rsid w:val="008C7CAB"/>
    <w:rsid w:val="008C7CC4"/>
    <w:rsid w:val="008D0106"/>
    <w:rsid w:val="008D047D"/>
    <w:rsid w:val="008D0B4C"/>
    <w:rsid w:val="008D14C4"/>
    <w:rsid w:val="008D1964"/>
    <w:rsid w:val="008D221A"/>
    <w:rsid w:val="008D24D6"/>
    <w:rsid w:val="008D24E1"/>
    <w:rsid w:val="008D3E6A"/>
    <w:rsid w:val="008D4736"/>
    <w:rsid w:val="008D48A2"/>
    <w:rsid w:val="008D53C3"/>
    <w:rsid w:val="008D53E2"/>
    <w:rsid w:val="008D5881"/>
    <w:rsid w:val="008D5908"/>
    <w:rsid w:val="008D5AF1"/>
    <w:rsid w:val="008D6A6E"/>
    <w:rsid w:val="008D70C0"/>
    <w:rsid w:val="008D781F"/>
    <w:rsid w:val="008D7DBE"/>
    <w:rsid w:val="008E02B7"/>
    <w:rsid w:val="008E1801"/>
    <w:rsid w:val="008E1EBB"/>
    <w:rsid w:val="008E20BE"/>
    <w:rsid w:val="008E241B"/>
    <w:rsid w:val="008E24B8"/>
    <w:rsid w:val="008E2A45"/>
    <w:rsid w:val="008E3096"/>
    <w:rsid w:val="008E330C"/>
    <w:rsid w:val="008E332F"/>
    <w:rsid w:val="008E38CD"/>
    <w:rsid w:val="008E4114"/>
    <w:rsid w:val="008E45EA"/>
    <w:rsid w:val="008E4A1A"/>
    <w:rsid w:val="008E502E"/>
    <w:rsid w:val="008E5E01"/>
    <w:rsid w:val="008E69A3"/>
    <w:rsid w:val="008E7565"/>
    <w:rsid w:val="008E7651"/>
    <w:rsid w:val="008E76D0"/>
    <w:rsid w:val="008E7959"/>
    <w:rsid w:val="008E7CC9"/>
    <w:rsid w:val="008F02A1"/>
    <w:rsid w:val="008F0E69"/>
    <w:rsid w:val="008F12FF"/>
    <w:rsid w:val="008F184A"/>
    <w:rsid w:val="008F328B"/>
    <w:rsid w:val="008F3D3E"/>
    <w:rsid w:val="008F3F31"/>
    <w:rsid w:val="008F4655"/>
    <w:rsid w:val="008F4779"/>
    <w:rsid w:val="008F542B"/>
    <w:rsid w:val="008F5670"/>
    <w:rsid w:val="008F599F"/>
    <w:rsid w:val="008F61EF"/>
    <w:rsid w:val="008F63DF"/>
    <w:rsid w:val="008F64E5"/>
    <w:rsid w:val="008F677E"/>
    <w:rsid w:val="008F7634"/>
    <w:rsid w:val="008F7C28"/>
    <w:rsid w:val="0090034D"/>
    <w:rsid w:val="00900A66"/>
    <w:rsid w:val="00900B76"/>
    <w:rsid w:val="00900E0F"/>
    <w:rsid w:val="00900EC7"/>
    <w:rsid w:val="00900FFC"/>
    <w:rsid w:val="009011F9"/>
    <w:rsid w:val="00901244"/>
    <w:rsid w:val="00901979"/>
    <w:rsid w:val="00902357"/>
    <w:rsid w:val="0090242A"/>
    <w:rsid w:val="0090293E"/>
    <w:rsid w:val="00902C85"/>
    <w:rsid w:val="009030F7"/>
    <w:rsid w:val="009034D9"/>
    <w:rsid w:val="009046C9"/>
    <w:rsid w:val="009046F1"/>
    <w:rsid w:val="00904875"/>
    <w:rsid w:val="00904883"/>
    <w:rsid w:val="00904B0A"/>
    <w:rsid w:val="00904B33"/>
    <w:rsid w:val="00904F84"/>
    <w:rsid w:val="009055DD"/>
    <w:rsid w:val="0090616A"/>
    <w:rsid w:val="00906527"/>
    <w:rsid w:val="00906BD9"/>
    <w:rsid w:val="00906EA0"/>
    <w:rsid w:val="00907F4C"/>
    <w:rsid w:val="0091006A"/>
    <w:rsid w:val="00910874"/>
    <w:rsid w:val="00910B57"/>
    <w:rsid w:val="0091148A"/>
    <w:rsid w:val="00911716"/>
    <w:rsid w:val="00911B64"/>
    <w:rsid w:val="00912347"/>
    <w:rsid w:val="0091268D"/>
    <w:rsid w:val="009129C1"/>
    <w:rsid w:val="00912B47"/>
    <w:rsid w:val="00912E74"/>
    <w:rsid w:val="0091341D"/>
    <w:rsid w:val="00913B74"/>
    <w:rsid w:val="00913EBB"/>
    <w:rsid w:val="009141BB"/>
    <w:rsid w:val="00914B36"/>
    <w:rsid w:val="00914B55"/>
    <w:rsid w:val="00914C02"/>
    <w:rsid w:val="00914DC4"/>
    <w:rsid w:val="00915329"/>
    <w:rsid w:val="0091569E"/>
    <w:rsid w:val="0091588C"/>
    <w:rsid w:val="00915DB5"/>
    <w:rsid w:val="00915DF4"/>
    <w:rsid w:val="00916068"/>
    <w:rsid w:val="00916BF5"/>
    <w:rsid w:val="00916CCB"/>
    <w:rsid w:val="00917422"/>
    <w:rsid w:val="00917DB8"/>
    <w:rsid w:val="00920EC8"/>
    <w:rsid w:val="00920FE5"/>
    <w:rsid w:val="00921102"/>
    <w:rsid w:val="00921305"/>
    <w:rsid w:val="00921373"/>
    <w:rsid w:val="00921783"/>
    <w:rsid w:val="009217D9"/>
    <w:rsid w:val="00921AC8"/>
    <w:rsid w:val="0092206F"/>
    <w:rsid w:val="00922482"/>
    <w:rsid w:val="00922A2B"/>
    <w:rsid w:val="0092351F"/>
    <w:rsid w:val="009237C4"/>
    <w:rsid w:val="00924A6C"/>
    <w:rsid w:val="00924ED4"/>
    <w:rsid w:val="00924F63"/>
    <w:rsid w:val="009250AB"/>
    <w:rsid w:val="009271AB"/>
    <w:rsid w:val="00927281"/>
    <w:rsid w:val="009273B8"/>
    <w:rsid w:val="0092771F"/>
    <w:rsid w:val="00927A20"/>
    <w:rsid w:val="00930298"/>
    <w:rsid w:val="009302A6"/>
    <w:rsid w:val="00930AA1"/>
    <w:rsid w:val="00931325"/>
    <w:rsid w:val="00931665"/>
    <w:rsid w:val="009319DC"/>
    <w:rsid w:val="00931AAD"/>
    <w:rsid w:val="00931E6D"/>
    <w:rsid w:val="0093215B"/>
    <w:rsid w:val="009325A7"/>
    <w:rsid w:val="00932D04"/>
    <w:rsid w:val="00932E9E"/>
    <w:rsid w:val="00933380"/>
    <w:rsid w:val="009335EC"/>
    <w:rsid w:val="0093385E"/>
    <w:rsid w:val="00933B8A"/>
    <w:rsid w:val="00934141"/>
    <w:rsid w:val="009341AA"/>
    <w:rsid w:val="0093429A"/>
    <w:rsid w:val="00935217"/>
    <w:rsid w:val="009352D3"/>
    <w:rsid w:val="009352F8"/>
    <w:rsid w:val="009355BB"/>
    <w:rsid w:val="00935789"/>
    <w:rsid w:val="009358F0"/>
    <w:rsid w:val="009359C5"/>
    <w:rsid w:val="00935CFA"/>
    <w:rsid w:val="009361E8"/>
    <w:rsid w:val="00936247"/>
    <w:rsid w:val="00936501"/>
    <w:rsid w:val="009366AD"/>
    <w:rsid w:val="009366F1"/>
    <w:rsid w:val="009377A1"/>
    <w:rsid w:val="00940850"/>
    <w:rsid w:val="00940B1D"/>
    <w:rsid w:val="0094243B"/>
    <w:rsid w:val="00942515"/>
    <w:rsid w:val="009425EB"/>
    <w:rsid w:val="009428A4"/>
    <w:rsid w:val="0094313F"/>
    <w:rsid w:val="00943157"/>
    <w:rsid w:val="0094368C"/>
    <w:rsid w:val="00943893"/>
    <w:rsid w:val="00944312"/>
    <w:rsid w:val="009443DC"/>
    <w:rsid w:val="009445E7"/>
    <w:rsid w:val="00944AE2"/>
    <w:rsid w:val="00944D29"/>
    <w:rsid w:val="0094526B"/>
    <w:rsid w:val="00945459"/>
    <w:rsid w:val="009456EB"/>
    <w:rsid w:val="00945E7E"/>
    <w:rsid w:val="00945E8F"/>
    <w:rsid w:val="009463FD"/>
    <w:rsid w:val="009467FD"/>
    <w:rsid w:val="00946D2E"/>
    <w:rsid w:val="00946E64"/>
    <w:rsid w:val="009472F6"/>
    <w:rsid w:val="00947812"/>
    <w:rsid w:val="0094783F"/>
    <w:rsid w:val="00947EA0"/>
    <w:rsid w:val="00950725"/>
    <w:rsid w:val="00950B18"/>
    <w:rsid w:val="00950C55"/>
    <w:rsid w:val="00950CB3"/>
    <w:rsid w:val="0095267E"/>
    <w:rsid w:val="009529DE"/>
    <w:rsid w:val="00952EBB"/>
    <w:rsid w:val="00952F24"/>
    <w:rsid w:val="0095370E"/>
    <w:rsid w:val="00953B5D"/>
    <w:rsid w:val="00953BAF"/>
    <w:rsid w:val="00953D3D"/>
    <w:rsid w:val="00953F68"/>
    <w:rsid w:val="009543D8"/>
    <w:rsid w:val="009545D6"/>
    <w:rsid w:val="00954F14"/>
    <w:rsid w:val="00954F67"/>
    <w:rsid w:val="0095500C"/>
    <w:rsid w:val="0095544E"/>
    <w:rsid w:val="00955AA9"/>
    <w:rsid w:val="00955AB2"/>
    <w:rsid w:val="00955E60"/>
    <w:rsid w:val="00955EC8"/>
    <w:rsid w:val="009561B3"/>
    <w:rsid w:val="0095642E"/>
    <w:rsid w:val="0095699A"/>
    <w:rsid w:val="00956B34"/>
    <w:rsid w:val="0095702D"/>
    <w:rsid w:val="009571A6"/>
    <w:rsid w:val="0095752A"/>
    <w:rsid w:val="009577C1"/>
    <w:rsid w:val="00957E3D"/>
    <w:rsid w:val="009602BA"/>
    <w:rsid w:val="00960825"/>
    <w:rsid w:val="009615D7"/>
    <w:rsid w:val="00962AAD"/>
    <w:rsid w:val="00962D17"/>
    <w:rsid w:val="00963D17"/>
    <w:rsid w:val="00963D45"/>
    <w:rsid w:val="00964098"/>
    <w:rsid w:val="009640B5"/>
    <w:rsid w:val="00964459"/>
    <w:rsid w:val="00964C0E"/>
    <w:rsid w:val="009657D5"/>
    <w:rsid w:val="00965F9F"/>
    <w:rsid w:val="00966141"/>
    <w:rsid w:val="009662EC"/>
    <w:rsid w:val="00966611"/>
    <w:rsid w:val="009669CC"/>
    <w:rsid w:val="0096705C"/>
    <w:rsid w:val="00967655"/>
    <w:rsid w:val="009677D0"/>
    <w:rsid w:val="00970F12"/>
    <w:rsid w:val="009710B8"/>
    <w:rsid w:val="009710BF"/>
    <w:rsid w:val="00971874"/>
    <w:rsid w:val="00971F83"/>
    <w:rsid w:val="00972061"/>
    <w:rsid w:val="0097245C"/>
    <w:rsid w:val="009725DF"/>
    <w:rsid w:val="009725FE"/>
    <w:rsid w:val="0097282B"/>
    <w:rsid w:val="00972DAC"/>
    <w:rsid w:val="0097390E"/>
    <w:rsid w:val="00973A35"/>
    <w:rsid w:val="00973C67"/>
    <w:rsid w:val="00974A1E"/>
    <w:rsid w:val="0097552B"/>
    <w:rsid w:val="0097559A"/>
    <w:rsid w:val="00975D48"/>
    <w:rsid w:val="00975F3D"/>
    <w:rsid w:val="00976546"/>
    <w:rsid w:val="00976FCF"/>
    <w:rsid w:val="009774EF"/>
    <w:rsid w:val="00980BAC"/>
    <w:rsid w:val="00980DF0"/>
    <w:rsid w:val="00980F3F"/>
    <w:rsid w:val="00981D1C"/>
    <w:rsid w:val="00981D4A"/>
    <w:rsid w:val="0098220E"/>
    <w:rsid w:val="00982214"/>
    <w:rsid w:val="009823D4"/>
    <w:rsid w:val="00982474"/>
    <w:rsid w:val="00983285"/>
    <w:rsid w:val="00984672"/>
    <w:rsid w:val="00984735"/>
    <w:rsid w:val="00984906"/>
    <w:rsid w:val="00984F97"/>
    <w:rsid w:val="0098569D"/>
    <w:rsid w:val="00985A09"/>
    <w:rsid w:val="00985D7A"/>
    <w:rsid w:val="00986277"/>
    <w:rsid w:val="009866A3"/>
    <w:rsid w:val="0098693D"/>
    <w:rsid w:val="009874B4"/>
    <w:rsid w:val="009874EE"/>
    <w:rsid w:val="00987728"/>
    <w:rsid w:val="00990343"/>
    <w:rsid w:val="009905E1"/>
    <w:rsid w:val="0099064C"/>
    <w:rsid w:val="0099078A"/>
    <w:rsid w:val="0099097F"/>
    <w:rsid w:val="00991469"/>
    <w:rsid w:val="00992097"/>
    <w:rsid w:val="009925AF"/>
    <w:rsid w:val="00992869"/>
    <w:rsid w:val="00992914"/>
    <w:rsid w:val="00992C47"/>
    <w:rsid w:val="00993776"/>
    <w:rsid w:val="00993832"/>
    <w:rsid w:val="00993DEA"/>
    <w:rsid w:val="00993F15"/>
    <w:rsid w:val="009944B9"/>
    <w:rsid w:val="009947D5"/>
    <w:rsid w:val="009949AD"/>
    <w:rsid w:val="00994B69"/>
    <w:rsid w:val="00994E90"/>
    <w:rsid w:val="0099551B"/>
    <w:rsid w:val="009955E2"/>
    <w:rsid w:val="00995629"/>
    <w:rsid w:val="009957BB"/>
    <w:rsid w:val="009959A5"/>
    <w:rsid w:val="00995C16"/>
    <w:rsid w:val="00996170"/>
    <w:rsid w:val="0099625A"/>
    <w:rsid w:val="009965BC"/>
    <w:rsid w:val="0099662E"/>
    <w:rsid w:val="00996B7F"/>
    <w:rsid w:val="00997258"/>
    <w:rsid w:val="00997C19"/>
    <w:rsid w:val="009A0415"/>
    <w:rsid w:val="009A04CD"/>
    <w:rsid w:val="009A0CCA"/>
    <w:rsid w:val="009A0F8B"/>
    <w:rsid w:val="009A177E"/>
    <w:rsid w:val="009A1AE9"/>
    <w:rsid w:val="009A1D2E"/>
    <w:rsid w:val="009A22E6"/>
    <w:rsid w:val="009A2486"/>
    <w:rsid w:val="009A24ED"/>
    <w:rsid w:val="009A2690"/>
    <w:rsid w:val="009A3307"/>
    <w:rsid w:val="009A3520"/>
    <w:rsid w:val="009A3547"/>
    <w:rsid w:val="009A370E"/>
    <w:rsid w:val="009A39FF"/>
    <w:rsid w:val="009A3CB5"/>
    <w:rsid w:val="009A3EAF"/>
    <w:rsid w:val="009A3F33"/>
    <w:rsid w:val="009A44A4"/>
    <w:rsid w:val="009A4B6C"/>
    <w:rsid w:val="009A5501"/>
    <w:rsid w:val="009A5AE0"/>
    <w:rsid w:val="009A5E89"/>
    <w:rsid w:val="009A6621"/>
    <w:rsid w:val="009A6AEA"/>
    <w:rsid w:val="009A6CC5"/>
    <w:rsid w:val="009A71DF"/>
    <w:rsid w:val="009A7641"/>
    <w:rsid w:val="009B1239"/>
    <w:rsid w:val="009B1344"/>
    <w:rsid w:val="009B1F3A"/>
    <w:rsid w:val="009B2204"/>
    <w:rsid w:val="009B2766"/>
    <w:rsid w:val="009B32F0"/>
    <w:rsid w:val="009B3EB4"/>
    <w:rsid w:val="009B3F21"/>
    <w:rsid w:val="009B42BE"/>
    <w:rsid w:val="009B4684"/>
    <w:rsid w:val="009B5124"/>
    <w:rsid w:val="009B5973"/>
    <w:rsid w:val="009B5B48"/>
    <w:rsid w:val="009B5F33"/>
    <w:rsid w:val="009B62E6"/>
    <w:rsid w:val="009B67C4"/>
    <w:rsid w:val="009B6A0C"/>
    <w:rsid w:val="009B6A3F"/>
    <w:rsid w:val="009B6B44"/>
    <w:rsid w:val="009B6C5A"/>
    <w:rsid w:val="009B6D1E"/>
    <w:rsid w:val="009B71E1"/>
    <w:rsid w:val="009C0448"/>
    <w:rsid w:val="009C0615"/>
    <w:rsid w:val="009C0A18"/>
    <w:rsid w:val="009C0BDF"/>
    <w:rsid w:val="009C0CF8"/>
    <w:rsid w:val="009C0E6E"/>
    <w:rsid w:val="009C0EF6"/>
    <w:rsid w:val="009C125A"/>
    <w:rsid w:val="009C1EB2"/>
    <w:rsid w:val="009C2675"/>
    <w:rsid w:val="009C2839"/>
    <w:rsid w:val="009C2DC4"/>
    <w:rsid w:val="009C3042"/>
    <w:rsid w:val="009C34FC"/>
    <w:rsid w:val="009C36D1"/>
    <w:rsid w:val="009C386A"/>
    <w:rsid w:val="009C3E36"/>
    <w:rsid w:val="009C3E9C"/>
    <w:rsid w:val="009C4180"/>
    <w:rsid w:val="009C4A32"/>
    <w:rsid w:val="009C4EC0"/>
    <w:rsid w:val="009C566F"/>
    <w:rsid w:val="009C5AF7"/>
    <w:rsid w:val="009C611D"/>
    <w:rsid w:val="009C63AB"/>
    <w:rsid w:val="009C69D0"/>
    <w:rsid w:val="009C69F4"/>
    <w:rsid w:val="009C7163"/>
    <w:rsid w:val="009C77A3"/>
    <w:rsid w:val="009D09CD"/>
    <w:rsid w:val="009D1082"/>
    <w:rsid w:val="009D158E"/>
    <w:rsid w:val="009D1821"/>
    <w:rsid w:val="009D2017"/>
    <w:rsid w:val="009D20AC"/>
    <w:rsid w:val="009D20C9"/>
    <w:rsid w:val="009D21C8"/>
    <w:rsid w:val="009D26D8"/>
    <w:rsid w:val="009D30F9"/>
    <w:rsid w:val="009D3192"/>
    <w:rsid w:val="009D31C0"/>
    <w:rsid w:val="009D322C"/>
    <w:rsid w:val="009D334F"/>
    <w:rsid w:val="009D372A"/>
    <w:rsid w:val="009D3838"/>
    <w:rsid w:val="009D3A26"/>
    <w:rsid w:val="009D3BAC"/>
    <w:rsid w:val="009D3EAE"/>
    <w:rsid w:val="009D3EDD"/>
    <w:rsid w:val="009D44C6"/>
    <w:rsid w:val="009D4857"/>
    <w:rsid w:val="009D48BA"/>
    <w:rsid w:val="009D4B7E"/>
    <w:rsid w:val="009D4D48"/>
    <w:rsid w:val="009D4DC6"/>
    <w:rsid w:val="009D5106"/>
    <w:rsid w:val="009D5514"/>
    <w:rsid w:val="009D5C08"/>
    <w:rsid w:val="009D66B9"/>
    <w:rsid w:val="009D6B77"/>
    <w:rsid w:val="009D6CE1"/>
    <w:rsid w:val="009D7212"/>
    <w:rsid w:val="009D785A"/>
    <w:rsid w:val="009E0C24"/>
    <w:rsid w:val="009E14B2"/>
    <w:rsid w:val="009E1D15"/>
    <w:rsid w:val="009E1DFA"/>
    <w:rsid w:val="009E23ED"/>
    <w:rsid w:val="009E26BC"/>
    <w:rsid w:val="009E322C"/>
    <w:rsid w:val="009E3352"/>
    <w:rsid w:val="009E3479"/>
    <w:rsid w:val="009E3754"/>
    <w:rsid w:val="009E387D"/>
    <w:rsid w:val="009E3FD3"/>
    <w:rsid w:val="009E453D"/>
    <w:rsid w:val="009E5013"/>
    <w:rsid w:val="009E5344"/>
    <w:rsid w:val="009E56B0"/>
    <w:rsid w:val="009E5917"/>
    <w:rsid w:val="009E6223"/>
    <w:rsid w:val="009E64FD"/>
    <w:rsid w:val="009E6EFE"/>
    <w:rsid w:val="009E725F"/>
    <w:rsid w:val="009E79B2"/>
    <w:rsid w:val="009E79CF"/>
    <w:rsid w:val="009E7BB5"/>
    <w:rsid w:val="009E7F2E"/>
    <w:rsid w:val="009F009C"/>
    <w:rsid w:val="009F0345"/>
    <w:rsid w:val="009F04F2"/>
    <w:rsid w:val="009F0A8F"/>
    <w:rsid w:val="009F231C"/>
    <w:rsid w:val="009F2512"/>
    <w:rsid w:val="009F2850"/>
    <w:rsid w:val="009F2C37"/>
    <w:rsid w:val="009F2C7D"/>
    <w:rsid w:val="009F40CE"/>
    <w:rsid w:val="009F489D"/>
    <w:rsid w:val="009F4A57"/>
    <w:rsid w:val="009F4CD7"/>
    <w:rsid w:val="009F4CDA"/>
    <w:rsid w:val="009F4DD4"/>
    <w:rsid w:val="009F59BF"/>
    <w:rsid w:val="009F5AB0"/>
    <w:rsid w:val="009F5F68"/>
    <w:rsid w:val="009F603A"/>
    <w:rsid w:val="009F613B"/>
    <w:rsid w:val="009F776E"/>
    <w:rsid w:val="00A00269"/>
    <w:rsid w:val="00A004D6"/>
    <w:rsid w:val="00A00D6B"/>
    <w:rsid w:val="00A00F42"/>
    <w:rsid w:val="00A01519"/>
    <w:rsid w:val="00A0195A"/>
    <w:rsid w:val="00A02D3C"/>
    <w:rsid w:val="00A032EA"/>
    <w:rsid w:val="00A0408F"/>
    <w:rsid w:val="00A04CD2"/>
    <w:rsid w:val="00A04E68"/>
    <w:rsid w:val="00A05975"/>
    <w:rsid w:val="00A05EAA"/>
    <w:rsid w:val="00A0608D"/>
    <w:rsid w:val="00A060BE"/>
    <w:rsid w:val="00A0656D"/>
    <w:rsid w:val="00A0695E"/>
    <w:rsid w:val="00A07D26"/>
    <w:rsid w:val="00A100D7"/>
    <w:rsid w:val="00A1036E"/>
    <w:rsid w:val="00A104A1"/>
    <w:rsid w:val="00A10D80"/>
    <w:rsid w:val="00A10FC7"/>
    <w:rsid w:val="00A11671"/>
    <w:rsid w:val="00A1187C"/>
    <w:rsid w:val="00A1219C"/>
    <w:rsid w:val="00A12A38"/>
    <w:rsid w:val="00A12CCC"/>
    <w:rsid w:val="00A12D1A"/>
    <w:rsid w:val="00A12E07"/>
    <w:rsid w:val="00A12F3D"/>
    <w:rsid w:val="00A12F59"/>
    <w:rsid w:val="00A12F8A"/>
    <w:rsid w:val="00A13A4E"/>
    <w:rsid w:val="00A14181"/>
    <w:rsid w:val="00A14611"/>
    <w:rsid w:val="00A15422"/>
    <w:rsid w:val="00A15566"/>
    <w:rsid w:val="00A159A5"/>
    <w:rsid w:val="00A15B2D"/>
    <w:rsid w:val="00A15E5E"/>
    <w:rsid w:val="00A163CD"/>
    <w:rsid w:val="00A16778"/>
    <w:rsid w:val="00A16B57"/>
    <w:rsid w:val="00A17A45"/>
    <w:rsid w:val="00A20224"/>
    <w:rsid w:val="00A20BD7"/>
    <w:rsid w:val="00A20CAE"/>
    <w:rsid w:val="00A21424"/>
    <w:rsid w:val="00A21997"/>
    <w:rsid w:val="00A21D63"/>
    <w:rsid w:val="00A222E4"/>
    <w:rsid w:val="00A22CBD"/>
    <w:rsid w:val="00A2314C"/>
    <w:rsid w:val="00A23A98"/>
    <w:rsid w:val="00A24217"/>
    <w:rsid w:val="00A24494"/>
    <w:rsid w:val="00A244E9"/>
    <w:rsid w:val="00A24622"/>
    <w:rsid w:val="00A246A3"/>
    <w:rsid w:val="00A259A8"/>
    <w:rsid w:val="00A25ABB"/>
    <w:rsid w:val="00A25BCB"/>
    <w:rsid w:val="00A25E39"/>
    <w:rsid w:val="00A267F3"/>
    <w:rsid w:val="00A26827"/>
    <w:rsid w:val="00A26AA9"/>
    <w:rsid w:val="00A26D05"/>
    <w:rsid w:val="00A26D47"/>
    <w:rsid w:val="00A26DA7"/>
    <w:rsid w:val="00A26F41"/>
    <w:rsid w:val="00A26F88"/>
    <w:rsid w:val="00A27275"/>
    <w:rsid w:val="00A275D1"/>
    <w:rsid w:val="00A2779F"/>
    <w:rsid w:val="00A27B57"/>
    <w:rsid w:val="00A313B3"/>
    <w:rsid w:val="00A3160A"/>
    <w:rsid w:val="00A31D00"/>
    <w:rsid w:val="00A32051"/>
    <w:rsid w:val="00A32AE0"/>
    <w:rsid w:val="00A32B77"/>
    <w:rsid w:val="00A32BB4"/>
    <w:rsid w:val="00A32C9C"/>
    <w:rsid w:val="00A332D6"/>
    <w:rsid w:val="00A33802"/>
    <w:rsid w:val="00A33CCF"/>
    <w:rsid w:val="00A359AC"/>
    <w:rsid w:val="00A35D65"/>
    <w:rsid w:val="00A36799"/>
    <w:rsid w:val="00A36940"/>
    <w:rsid w:val="00A36CCB"/>
    <w:rsid w:val="00A36CF6"/>
    <w:rsid w:val="00A36EC5"/>
    <w:rsid w:val="00A37EDA"/>
    <w:rsid w:val="00A4035D"/>
    <w:rsid w:val="00A4043D"/>
    <w:rsid w:val="00A40F98"/>
    <w:rsid w:val="00A413A3"/>
    <w:rsid w:val="00A43270"/>
    <w:rsid w:val="00A433C4"/>
    <w:rsid w:val="00A4539E"/>
    <w:rsid w:val="00A46006"/>
    <w:rsid w:val="00A46080"/>
    <w:rsid w:val="00A461CB"/>
    <w:rsid w:val="00A466F9"/>
    <w:rsid w:val="00A46C6C"/>
    <w:rsid w:val="00A46EB1"/>
    <w:rsid w:val="00A47293"/>
    <w:rsid w:val="00A47A54"/>
    <w:rsid w:val="00A47C59"/>
    <w:rsid w:val="00A47EB9"/>
    <w:rsid w:val="00A47F2E"/>
    <w:rsid w:val="00A50BC3"/>
    <w:rsid w:val="00A50FEC"/>
    <w:rsid w:val="00A51F81"/>
    <w:rsid w:val="00A51FC3"/>
    <w:rsid w:val="00A532FC"/>
    <w:rsid w:val="00A53624"/>
    <w:rsid w:val="00A538D3"/>
    <w:rsid w:val="00A54F72"/>
    <w:rsid w:val="00A565B6"/>
    <w:rsid w:val="00A567E2"/>
    <w:rsid w:val="00A56806"/>
    <w:rsid w:val="00A572C2"/>
    <w:rsid w:val="00A5763A"/>
    <w:rsid w:val="00A57F15"/>
    <w:rsid w:val="00A60066"/>
    <w:rsid w:val="00A60179"/>
    <w:rsid w:val="00A615A9"/>
    <w:rsid w:val="00A61757"/>
    <w:rsid w:val="00A61782"/>
    <w:rsid w:val="00A61C32"/>
    <w:rsid w:val="00A61FDA"/>
    <w:rsid w:val="00A6215B"/>
    <w:rsid w:val="00A62498"/>
    <w:rsid w:val="00A62595"/>
    <w:rsid w:val="00A62C90"/>
    <w:rsid w:val="00A63607"/>
    <w:rsid w:val="00A63850"/>
    <w:rsid w:val="00A63B92"/>
    <w:rsid w:val="00A64787"/>
    <w:rsid w:val="00A648E9"/>
    <w:rsid w:val="00A66035"/>
    <w:rsid w:val="00A663EB"/>
    <w:rsid w:val="00A6648F"/>
    <w:rsid w:val="00A6654A"/>
    <w:rsid w:val="00A66849"/>
    <w:rsid w:val="00A66BF9"/>
    <w:rsid w:val="00A66C0D"/>
    <w:rsid w:val="00A6764D"/>
    <w:rsid w:val="00A67934"/>
    <w:rsid w:val="00A67D4A"/>
    <w:rsid w:val="00A67D5E"/>
    <w:rsid w:val="00A67DEF"/>
    <w:rsid w:val="00A703AE"/>
    <w:rsid w:val="00A70415"/>
    <w:rsid w:val="00A709AE"/>
    <w:rsid w:val="00A70DCB"/>
    <w:rsid w:val="00A70E5B"/>
    <w:rsid w:val="00A71FD1"/>
    <w:rsid w:val="00A720C2"/>
    <w:rsid w:val="00A7248F"/>
    <w:rsid w:val="00A72733"/>
    <w:rsid w:val="00A729AA"/>
    <w:rsid w:val="00A72BC8"/>
    <w:rsid w:val="00A72C04"/>
    <w:rsid w:val="00A72D9B"/>
    <w:rsid w:val="00A72FE2"/>
    <w:rsid w:val="00A73341"/>
    <w:rsid w:val="00A73B39"/>
    <w:rsid w:val="00A741BD"/>
    <w:rsid w:val="00A7473A"/>
    <w:rsid w:val="00A748ED"/>
    <w:rsid w:val="00A75386"/>
    <w:rsid w:val="00A7593A"/>
    <w:rsid w:val="00A7597F"/>
    <w:rsid w:val="00A75D3F"/>
    <w:rsid w:val="00A75F65"/>
    <w:rsid w:val="00A76174"/>
    <w:rsid w:val="00A76254"/>
    <w:rsid w:val="00A765FE"/>
    <w:rsid w:val="00A768C8"/>
    <w:rsid w:val="00A76C21"/>
    <w:rsid w:val="00A76DAF"/>
    <w:rsid w:val="00A76EE0"/>
    <w:rsid w:val="00A77303"/>
    <w:rsid w:val="00A77727"/>
    <w:rsid w:val="00A81AA0"/>
    <w:rsid w:val="00A8226A"/>
    <w:rsid w:val="00A8279A"/>
    <w:rsid w:val="00A82941"/>
    <w:rsid w:val="00A8348B"/>
    <w:rsid w:val="00A834D6"/>
    <w:rsid w:val="00A839CD"/>
    <w:rsid w:val="00A83DBC"/>
    <w:rsid w:val="00A84746"/>
    <w:rsid w:val="00A847AE"/>
    <w:rsid w:val="00A84D2C"/>
    <w:rsid w:val="00A85084"/>
    <w:rsid w:val="00A855FE"/>
    <w:rsid w:val="00A85836"/>
    <w:rsid w:val="00A85B6B"/>
    <w:rsid w:val="00A85E79"/>
    <w:rsid w:val="00A85F19"/>
    <w:rsid w:val="00A85F29"/>
    <w:rsid w:val="00A8613B"/>
    <w:rsid w:val="00A86203"/>
    <w:rsid w:val="00A86284"/>
    <w:rsid w:val="00A86D62"/>
    <w:rsid w:val="00A87246"/>
    <w:rsid w:val="00A87982"/>
    <w:rsid w:val="00A879B8"/>
    <w:rsid w:val="00A87C2F"/>
    <w:rsid w:val="00A904F2"/>
    <w:rsid w:val="00A90A9D"/>
    <w:rsid w:val="00A911A0"/>
    <w:rsid w:val="00A91363"/>
    <w:rsid w:val="00A91450"/>
    <w:rsid w:val="00A91B63"/>
    <w:rsid w:val="00A91E97"/>
    <w:rsid w:val="00A920B1"/>
    <w:rsid w:val="00A92564"/>
    <w:rsid w:val="00A92DB9"/>
    <w:rsid w:val="00A93738"/>
    <w:rsid w:val="00A94084"/>
    <w:rsid w:val="00A94372"/>
    <w:rsid w:val="00A943DC"/>
    <w:rsid w:val="00A9446E"/>
    <w:rsid w:val="00A9484A"/>
    <w:rsid w:val="00A9565C"/>
    <w:rsid w:val="00A95DE9"/>
    <w:rsid w:val="00A96852"/>
    <w:rsid w:val="00A96C21"/>
    <w:rsid w:val="00A97030"/>
    <w:rsid w:val="00A9791D"/>
    <w:rsid w:val="00A97D4A"/>
    <w:rsid w:val="00A97DB8"/>
    <w:rsid w:val="00AA008C"/>
    <w:rsid w:val="00AA0209"/>
    <w:rsid w:val="00AA03A6"/>
    <w:rsid w:val="00AA05CA"/>
    <w:rsid w:val="00AA1033"/>
    <w:rsid w:val="00AA10FE"/>
    <w:rsid w:val="00AA1128"/>
    <w:rsid w:val="00AA1A7C"/>
    <w:rsid w:val="00AA1ADA"/>
    <w:rsid w:val="00AA20B3"/>
    <w:rsid w:val="00AA2650"/>
    <w:rsid w:val="00AA2A7D"/>
    <w:rsid w:val="00AA2A95"/>
    <w:rsid w:val="00AA2ECC"/>
    <w:rsid w:val="00AA3537"/>
    <w:rsid w:val="00AA3A3E"/>
    <w:rsid w:val="00AA3B94"/>
    <w:rsid w:val="00AA3C94"/>
    <w:rsid w:val="00AA41D4"/>
    <w:rsid w:val="00AA4203"/>
    <w:rsid w:val="00AA44D2"/>
    <w:rsid w:val="00AA4775"/>
    <w:rsid w:val="00AA488F"/>
    <w:rsid w:val="00AA5515"/>
    <w:rsid w:val="00AA567F"/>
    <w:rsid w:val="00AA583C"/>
    <w:rsid w:val="00AA5B86"/>
    <w:rsid w:val="00AA65CF"/>
    <w:rsid w:val="00AA6A88"/>
    <w:rsid w:val="00AA70B2"/>
    <w:rsid w:val="00AB02DD"/>
    <w:rsid w:val="00AB045C"/>
    <w:rsid w:val="00AB05BB"/>
    <w:rsid w:val="00AB090C"/>
    <w:rsid w:val="00AB0B76"/>
    <w:rsid w:val="00AB0F9A"/>
    <w:rsid w:val="00AB1160"/>
    <w:rsid w:val="00AB1411"/>
    <w:rsid w:val="00AB142E"/>
    <w:rsid w:val="00AB1C10"/>
    <w:rsid w:val="00AB212D"/>
    <w:rsid w:val="00AB2EF9"/>
    <w:rsid w:val="00AB32C1"/>
    <w:rsid w:val="00AB3552"/>
    <w:rsid w:val="00AB3F76"/>
    <w:rsid w:val="00AB49C3"/>
    <w:rsid w:val="00AB545C"/>
    <w:rsid w:val="00AB55F8"/>
    <w:rsid w:val="00AB58F6"/>
    <w:rsid w:val="00AB5DF2"/>
    <w:rsid w:val="00AB5DFC"/>
    <w:rsid w:val="00AB6B84"/>
    <w:rsid w:val="00AB6C4D"/>
    <w:rsid w:val="00AB70A8"/>
    <w:rsid w:val="00AB7866"/>
    <w:rsid w:val="00AC1D3B"/>
    <w:rsid w:val="00AC1F7C"/>
    <w:rsid w:val="00AC1FFC"/>
    <w:rsid w:val="00AC226A"/>
    <w:rsid w:val="00AC246C"/>
    <w:rsid w:val="00AC2840"/>
    <w:rsid w:val="00AC2FB2"/>
    <w:rsid w:val="00AC32FB"/>
    <w:rsid w:val="00AC3703"/>
    <w:rsid w:val="00AC385F"/>
    <w:rsid w:val="00AC3ADE"/>
    <w:rsid w:val="00AC3F58"/>
    <w:rsid w:val="00AC3F93"/>
    <w:rsid w:val="00AC4C92"/>
    <w:rsid w:val="00AC4E28"/>
    <w:rsid w:val="00AC4E71"/>
    <w:rsid w:val="00AC4F7E"/>
    <w:rsid w:val="00AC529F"/>
    <w:rsid w:val="00AC5700"/>
    <w:rsid w:val="00AC5A64"/>
    <w:rsid w:val="00AC7042"/>
    <w:rsid w:val="00AC7185"/>
    <w:rsid w:val="00AC752F"/>
    <w:rsid w:val="00AC7553"/>
    <w:rsid w:val="00AC7B8D"/>
    <w:rsid w:val="00AC7E49"/>
    <w:rsid w:val="00AD03E9"/>
    <w:rsid w:val="00AD041B"/>
    <w:rsid w:val="00AD099F"/>
    <w:rsid w:val="00AD0B75"/>
    <w:rsid w:val="00AD1C10"/>
    <w:rsid w:val="00AD25CA"/>
    <w:rsid w:val="00AD25CC"/>
    <w:rsid w:val="00AD2E7B"/>
    <w:rsid w:val="00AD2F8F"/>
    <w:rsid w:val="00AD3685"/>
    <w:rsid w:val="00AD3BAA"/>
    <w:rsid w:val="00AD3C38"/>
    <w:rsid w:val="00AD3F4F"/>
    <w:rsid w:val="00AD403C"/>
    <w:rsid w:val="00AD4153"/>
    <w:rsid w:val="00AD4838"/>
    <w:rsid w:val="00AD5420"/>
    <w:rsid w:val="00AD569F"/>
    <w:rsid w:val="00AD56CF"/>
    <w:rsid w:val="00AD5DDB"/>
    <w:rsid w:val="00AD5E3E"/>
    <w:rsid w:val="00AD60B8"/>
    <w:rsid w:val="00AD60EF"/>
    <w:rsid w:val="00AD612C"/>
    <w:rsid w:val="00AD734C"/>
    <w:rsid w:val="00AD7922"/>
    <w:rsid w:val="00AD7F49"/>
    <w:rsid w:val="00AE0379"/>
    <w:rsid w:val="00AE0413"/>
    <w:rsid w:val="00AE05BF"/>
    <w:rsid w:val="00AE0D8D"/>
    <w:rsid w:val="00AE0FFC"/>
    <w:rsid w:val="00AE23C8"/>
    <w:rsid w:val="00AE265A"/>
    <w:rsid w:val="00AE2A13"/>
    <w:rsid w:val="00AE2F77"/>
    <w:rsid w:val="00AE308D"/>
    <w:rsid w:val="00AE30EE"/>
    <w:rsid w:val="00AE36D1"/>
    <w:rsid w:val="00AE3DDB"/>
    <w:rsid w:val="00AE3F31"/>
    <w:rsid w:val="00AE4A64"/>
    <w:rsid w:val="00AE4EC0"/>
    <w:rsid w:val="00AE56D9"/>
    <w:rsid w:val="00AE5771"/>
    <w:rsid w:val="00AE59FC"/>
    <w:rsid w:val="00AE6AAF"/>
    <w:rsid w:val="00AE6E97"/>
    <w:rsid w:val="00AE7255"/>
    <w:rsid w:val="00AE7501"/>
    <w:rsid w:val="00AE758E"/>
    <w:rsid w:val="00AE7820"/>
    <w:rsid w:val="00AF059D"/>
    <w:rsid w:val="00AF077D"/>
    <w:rsid w:val="00AF096A"/>
    <w:rsid w:val="00AF0992"/>
    <w:rsid w:val="00AF0C7C"/>
    <w:rsid w:val="00AF0D62"/>
    <w:rsid w:val="00AF0EB3"/>
    <w:rsid w:val="00AF1281"/>
    <w:rsid w:val="00AF14C8"/>
    <w:rsid w:val="00AF1797"/>
    <w:rsid w:val="00AF2307"/>
    <w:rsid w:val="00AF23D9"/>
    <w:rsid w:val="00AF262E"/>
    <w:rsid w:val="00AF290E"/>
    <w:rsid w:val="00AF29FA"/>
    <w:rsid w:val="00AF332D"/>
    <w:rsid w:val="00AF37D5"/>
    <w:rsid w:val="00AF381B"/>
    <w:rsid w:val="00AF3F63"/>
    <w:rsid w:val="00AF4345"/>
    <w:rsid w:val="00AF463B"/>
    <w:rsid w:val="00AF49F8"/>
    <w:rsid w:val="00AF4CC5"/>
    <w:rsid w:val="00AF4D33"/>
    <w:rsid w:val="00AF52B9"/>
    <w:rsid w:val="00AF5319"/>
    <w:rsid w:val="00AF608B"/>
    <w:rsid w:val="00AF691F"/>
    <w:rsid w:val="00AF6A59"/>
    <w:rsid w:val="00AF6E37"/>
    <w:rsid w:val="00AF7BDD"/>
    <w:rsid w:val="00B00B6F"/>
    <w:rsid w:val="00B00DD2"/>
    <w:rsid w:val="00B00F8C"/>
    <w:rsid w:val="00B00FEC"/>
    <w:rsid w:val="00B01026"/>
    <w:rsid w:val="00B01B3C"/>
    <w:rsid w:val="00B02145"/>
    <w:rsid w:val="00B02167"/>
    <w:rsid w:val="00B02A38"/>
    <w:rsid w:val="00B02F0C"/>
    <w:rsid w:val="00B03776"/>
    <w:rsid w:val="00B03ED8"/>
    <w:rsid w:val="00B0401D"/>
    <w:rsid w:val="00B042D2"/>
    <w:rsid w:val="00B04C04"/>
    <w:rsid w:val="00B04E07"/>
    <w:rsid w:val="00B04E8D"/>
    <w:rsid w:val="00B04F50"/>
    <w:rsid w:val="00B0542F"/>
    <w:rsid w:val="00B056CF"/>
    <w:rsid w:val="00B05A05"/>
    <w:rsid w:val="00B05F89"/>
    <w:rsid w:val="00B06495"/>
    <w:rsid w:val="00B064F1"/>
    <w:rsid w:val="00B067E7"/>
    <w:rsid w:val="00B06B40"/>
    <w:rsid w:val="00B06DA3"/>
    <w:rsid w:val="00B0718C"/>
    <w:rsid w:val="00B07CC2"/>
    <w:rsid w:val="00B1072A"/>
    <w:rsid w:val="00B108D5"/>
    <w:rsid w:val="00B109DF"/>
    <w:rsid w:val="00B1133F"/>
    <w:rsid w:val="00B118E1"/>
    <w:rsid w:val="00B11A39"/>
    <w:rsid w:val="00B11A5F"/>
    <w:rsid w:val="00B11A9A"/>
    <w:rsid w:val="00B11B7C"/>
    <w:rsid w:val="00B120CF"/>
    <w:rsid w:val="00B1210E"/>
    <w:rsid w:val="00B1243E"/>
    <w:rsid w:val="00B129BD"/>
    <w:rsid w:val="00B12BDA"/>
    <w:rsid w:val="00B12FF6"/>
    <w:rsid w:val="00B13BFF"/>
    <w:rsid w:val="00B13D2B"/>
    <w:rsid w:val="00B13F2E"/>
    <w:rsid w:val="00B14011"/>
    <w:rsid w:val="00B14793"/>
    <w:rsid w:val="00B15075"/>
    <w:rsid w:val="00B15774"/>
    <w:rsid w:val="00B15AFE"/>
    <w:rsid w:val="00B15DB9"/>
    <w:rsid w:val="00B1780E"/>
    <w:rsid w:val="00B178F6"/>
    <w:rsid w:val="00B200D3"/>
    <w:rsid w:val="00B2060E"/>
    <w:rsid w:val="00B20DCF"/>
    <w:rsid w:val="00B20F8A"/>
    <w:rsid w:val="00B215EB"/>
    <w:rsid w:val="00B22522"/>
    <w:rsid w:val="00B22804"/>
    <w:rsid w:val="00B2288A"/>
    <w:rsid w:val="00B22FBC"/>
    <w:rsid w:val="00B23B2D"/>
    <w:rsid w:val="00B23D75"/>
    <w:rsid w:val="00B2424B"/>
    <w:rsid w:val="00B24D66"/>
    <w:rsid w:val="00B24F7F"/>
    <w:rsid w:val="00B258AF"/>
    <w:rsid w:val="00B264B0"/>
    <w:rsid w:val="00B26CDB"/>
    <w:rsid w:val="00B26ECF"/>
    <w:rsid w:val="00B27444"/>
    <w:rsid w:val="00B27734"/>
    <w:rsid w:val="00B27771"/>
    <w:rsid w:val="00B27787"/>
    <w:rsid w:val="00B278D7"/>
    <w:rsid w:val="00B30754"/>
    <w:rsid w:val="00B307CE"/>
    <w:rsid w:val="00B3091E"/>
    <w:rsid w:val="00B30FCB"/>
    <w:rsid w:val="00B31602"/>
    <w:rsid w:val="00B318B4"/>
    <w:rsid w:val="00B319FE"/>
    <w:rsid w:val="00B31B04"/>
    <w:rsid w:val="00B3232C"/>
    <w:rsid w:val="00B331B8"/>
    <w:rsid w:val="00B33786"/>
    <w:rsid w:val="00B337A4"/>
    <w:rsid w:val="00B34725"/>
    <w:rsid w:val="00B34A82"/>
    <w:rsid w:val="00B34DD5"/>
    <w:rsid w:val="00B35385"/>
    <w:rsid w:val="00B355F0"/>
    <w:rsid w:val="00B3578C"/>
    <w:rsid w:val="00B35CD3"/>
    <w:rsid w:val="00B36D9E"/>
    <w:rsid w:val="00B37311"/>
    <w:rsid w:val="00B373CB"/>
    <w:rsid w:val="00B373FB"/>
    <w:rsid w:val="00B376CA"/>
    <w:rsid w:val="00B37975"/>
    <w:rsid w:val="00B4106F"/>
    <w:rsid w:val="00B41766"/>
    <w:rsid w:val="00B41BE7"/>
    <w:rsid w:val="00B41D50"/>
    <w:rsid w:val="00B41F28"/>
    <w:rsid w:val="00B42377"/>
    <w:rsid w:val="00B424F7"/>
    <w:rsid w:val="00B42568"/>
    <w:rsid w:val="00B42D89"/>
    <w:rsid w:val="00B4316E"/>
    <w:rsid w:val="00B4339F"/>
    <w:rsid w:val="00B4381B"/>
    <w:rsid w:val="00B4383C"/>
    <w:rsid w:val="00B438D2"/>
    <w:rsid w:val="00B4403D"/>
    <w:rsid w:val="00B44879"/>
    <w:rsid w:val="00B44B02"/>
    <w:rsid w:val="00B45847"/>
    <w:rsid w:val="00B460A1"/>
    <w:rsid w:val="00B46174"/>
    <w:rsid w:val="00B46275"/>
    <w:rsid w:val="00B464C7"/>
    <w:rsid w:val="00B4658A"/>
    <w:rsid w:val="00B46929"/>
    <w:rsid w:val="00B4733F"/>
    <w:rsid w:val="00B4758E"/>
    <w:rsid w:val="00B479DB"/>
    <w:rsid w:val="00B47CBB"/>
    <w:rsid w:val="00B507E4"/>
    <w:rsid w:val="00B5083E"/>
    <w:rsid w:val="00B50ADB"/>
    <w:rsid w:val="00B50E65"/>
    <w:rsid w:val="00B5112B"/>
    <w:rsid w:val="00B51604"/>
    <w:rsid w:val="00B51F64"/>
    <w:rsid w:val="00B53992"/>
    <w:rsid w:val="00B53B4E"/>
    <w:rsid w:val="00B53C5F"/>
    <w:rsid w:val="00B54BD8"/>
    <w:rsid w:val="00B553DB"/>
    <w:rsid w:val="00B55812"/>
    <w:rsid w:val="00B5596C"/>
    <w:rsid w:val="00B569B2"/>
    <w:rsid w:val="00B56EB0"/>
    <w:rsid w:val="00B56FBD"/>
    <w:rsid w:val="00B5715A"/>
    <w:rsid w:val="00B57280"/>
    <w:rsid w:val="00B57327"/>
    <w:rsid w:val="00B57595"/>
    <w:rsid w:val="00B577E1"/>
    <w:rsid w:val="00B6002D"/>
    <w:rsid w:val="00B6010B"/>
    <w:rsid w:val="00B6068D"/>
    <w:rsid w:val="00B60946"/>
    <w:rsid w:val="00B61262"/>
    <w:rsid w:val="00B61767"/>
    <w:rsid w:val="00B6210A"/>
    <w:rsid w:val="00B6220A"/>
    <w:rsid w:val="00B62942"/>
    <w:rsid w:val="00B629F3"/>
    <w:rsid w:val="00B63128"/>
    <w:rsid w:val="00B635EE"/>
    <w:rsid w:val="00B637A7"/>
    <w:rsid w:val="00B640CF"/>
    <w:rsid w:val="00B65828"/>
    <w:rsid w:val="00B65E01"/>
    <w:rsid w:val="00B664D0"/>
    <w:rsid w:val="00B665BB"/>
    <w:rsid w:val="00B66800"/>
    <w:rsid w:val="00B668CA"/>
    <w:rsid w:val="00B669BA"/>
    <w:rsid w:val="00B66AB0"/>
    <w:rsid w:val="00B677D7"/>
    <w:rsid w:val="00B7095E"/>
    <w:rsid w:val="00B70C27"/>
    <w:rsid w:val="00B70ED8"/>
    <w:rsid w:val="00B710E0"/>
    <w:rsid w:val="00B7162D"/>
    <w:rsid w:val="00B71E56"/>
    <w:rsid w:val="00B722E4"/>
    <w:rsid w:val="00B727DF"/>
    <w:rsid w:val="00B72CF9"/>
    <w:rsid w:val="00B72EE9"/>
    <w:rsid w:val="00B73637"/>
    <w:rsid w:val="00B73D34"/>
    <w:rsid w:val="00B742C1"/>
    <w:rsid w:val="00B74720"/>
    <w:rsid w:val="00B74C99"/>
    <w:rsid w:val="00B75032"/>
    <w:rsid w:val="00B750D5"/>
    <w:rsid w:val="00B7576A"/>
    <w:rsid w:val="00B7591C"/>
    <w:rsid w:val="00B75D1D"/>
    <w:rsid w:val="00B75E98"/>
    <w:rsid w:val="00B76A3F"/>
    <w:rsid w:val="00B76A7D"/>
    <w:rsid w:val="00B76C39"/>
    <w:rsid w:val="00B76CE1"/>
    <w:rsid w:val="00B771BD"/>
    <w:rsid w:val="00B776D5"/>
    <w:rsid w:val="00B77B7E"/>
    <w:rsid w:val="00B77CA9"/>
    <w:rsid w:val="00B80135"/>
    <w:rsid w:val="00B80744"/>
    <w:rsid w:val="00B80979"/>
    <w:rsid w:val="00B80CE5"/>
    <w:rsid w:val="00B81818"/>
    <w:rsid w:val="00B818AA"/>
    <w:rsid w:val="00B81B66"/>
    <w:rsid w:val="00B81BC2"/>
    <w:rsid w:val="00B81C75"/>
    <w:rsid w:val="00B81D8F"/>
    <w:rsid w:val="00B81EEF"/>
    <w:rsid w:val="00B81F26"/>
    <w:rsid w:val="00B820A1"/>
    <w:rsid w:val="00B82738"/>
    <w:rsid w:val="00B8296C"/>
    <w:rsid w:val="00B82DD4"/>
    <w:rsid w:val="00B8397D"/>
    <w:rsid w:val="00B840BB"/>
    <w:rsid w:val="00B84463"/>
    <w:rsid w:val="00B84C9F"/>
    <w:rsid w:val="00B8525F"/>
    <w:rsid w:val="00B856E9"/>
    <w:rsid w:val="00B85774"/>
    <w:rsid w:val="00B85FA5"/>
    <w:rsid w:val="00B86429"/>
    <w:rsid w:val="00B8648F"/>
    <w:rsid w:val="00B866C7"/>
    <w:rsid w:val="00B86EFB"/>
    <w:rsid w:val="00B87563"/>
    <w:rsid w:val="00B87E26"/>
    <w:rsid w:val="00B87EBC"/>
    <w:rsid w:val="00B87FF0"/>
    <w:rsid w:val="00B90825"/>
    <w:rsid w:val="00B9084F"/>
    <w:rsid w:val="00B90862"/>
    <w:rsid w:val="00B90DD5"/>
    <w:rsid w:val="00B90E79"/>
    <w:rsid w:val="00B912EC"/>
    <w:rsid w:val="00B91315"/>
    <w:rsid w:val="00B913C0"/>
    <w:rsid w:val="00B917AC"/>
    <w:rsid w:val="00B91863"/>
    <w:rsid w:val="00B91889"/>
    <w:rsid w:val="00B91F43"/>
    <w:rsid w:val="00B91F77"/>
    <w:rsid w:val="00B92052"/>
    <w:rsid w:val="00B926AC"/>
    <w:rsid w:val="00B929F1"/>
    <w:rsid w:val="00B92E6B"/>
    <w:rsid w:val="00B93043"/>
    <w:rsid w:val="00B93431"/>
    <w:rsid w:val="00B93500"/>
    <w:rsid w:val="00B93D97"/>
    <w:rsid w:val="00B94392"/>
    <w:rsid w:val="00B955F5"/>
    <w:rsid w:val="00B95663"/>
    <w:rsid w:val="00B957F0"/>
    <w:rsid w:val="00B95A36"/>
    <w:rsid w:val="00B95C9D"/>
    <w:rsid w:val="00B95CCC"/>
    <w:rsid w:val="00B95F44"/>
    <w:rsid w:val="00B968A2"/>
    <w:rsid w:val="00B96D3C"/>
    <w:rsid w:val="00B9707A"/>
    <w:rsid w:val="00B97577"/>
    <w:rsid w:val="00BA0FE9"/>
    <w:rsid w:val="00BA139F"/>
    <w:rsid w:val="00BA1A0B"/>
    <w:rsid w:val="00BA1E85"/>
    <w:rsid w:val="00BA2173"/>
    <w:rsid w:val="00BA288C"/>
    <w:rsid w:val="00BA2F7D"/>
    <w:rsid w:val="00BA359B"/>
    <w:rsid w:val="00BA362A"/>
    <w:rsid w:val="00BA3A93"/>
    <w:rsid w:val="00BA40EF"/>
    <w:rsid w:val="00BA41DC"/>
    <w:rsid w:val="00BA442D"/>
    <w:rsid w:val="00BA4C69"/>
    <w:rsid w:val="00BA4D05"/>
    <w:rsid w:val="00BA5165"/>
    <w:rsid w:val="00BA5186"/>
    <w:rsid w:val="00BA5599"/>
    <w:rsid w:val="00BA5A40"/>
    <w:rsid w:val="00BA5FD5"/>
    <w:rsid w:val="00BA62AB"/>
    <w:rsid w:val="00BA63B8"/>
    <w:rsid w:val="00BA645D"/>
    <w:rsid w:val="00BA7643"/>
    <w:rsid w:val="00BA7E0B"/>
    <w:rsid w:val="00BB06F6"/>
    <w:rsid w:val="00BB0DE3"/>
    <w:rsid w:val="00BB0EA0"/>
    <w:rsid w:val="00BB10CD"/>
    <w:rsid w:val="00BB10F0"/>
    <w:rsid w:val="00BB122E"/>
    <w:rsid w:val="00BB18E2"/>
    <w:rsid w:val="00BB25BB"/>
    <w:rsid w:val="00BB274F"/>
    <w:rsid w:val="00BB2EEC"/>
    <w:rsid w:val="00BB30EF"/>
    <w:rsid w:val="00BB3E4E"/>
    <w:rsid w:val="00BB4693"/>
    <w:rsid w:val="00BB4A6F"/>
    <w:rsid w:val="00BB4CD2"/>
    <w:rsid w:val="00BB4D99"/>
    <w:rsid w:val="00BB56B1"/>
    <w:rsid w:val="00BB5759"/>
    <w:rsid w:val="00BB5A30"/>
    <w:rsid w:val="00BB5B98"/>
    <w:rsid w:val="00BB77C0"/>
    <w:rsid w:val="00BB7BAC"/>
    <w:rsid w:val="00BC007C"/>
    <w:rsid w:val="00BC08D8"/>
    <w:rsid w:val="00BC08FC"/>
    <w:rsid w:val="00BC0BA0"/>
    <w:rsid w:val="00BC1D93"/>
    <w:rsid w:val="00BC202D"/>
    <w:rsid w:val="00BC213B"/>
    <w:rsid w:val="00BC2359"/>
    <w:rsid w:val="00BC24C5"/>
    <w:rsid w:val="00BC25A2"/>
    <w:rsid w:val="00BC2964"/>
    <w:rsid w:val="00BC2A60"/>
    <w:rsid w:val="00BC3112"/>
    <w:rsid w:val="00BC3776"/>
    <w:rsid w:val="00BC3D8E"/>
    <w:rsid w:val="00BC3E7F"/>
    <w:rsid w:val="00BC3F8F"/>
    <w:rsid w:val="00BC41B5"/>
    <w:rsid w:val="00BC43B3"/>
    <w:rsid w:val="00BC4C63"/>
    <w:rsid w:val="00BC508D"/>
    <w:rsid w:val="00BC54D1"/>
    <w:rsid w:val="00BC6308"/>
    <w:rsid w:val="00BC63FE"/>
    <w:rsid w:val="00BC666D"/>
    <w:rsid w:val="00BC67A4"/>
    <w:rsid w:val="00BC6B4D"/>
    <w:rsid w:val="00BC6C4F"/>
    <w:rsid w:val="00BC6CCA"/>
    <w:rsid w:val="00BC6D58"/>
    <w:rsid w:val="00BC76AA"/>
    <w:rsid w:val="00BC7D55"/>
    <w:rsid w:val="00BD0991"/>
    <w:rsid w:val="00BD1290"/>
    <w:rsid w:val="00BD1CFB"/>
    <w:rsid w:val="00BD1F53"/>
    <w:rsid w:val="00BD2B8F"/>
    <w:rsid w:val="00BD35B9"/>
    <w:rsid w:val="00BD36EB"/>
    <w:rsid w:val="00BD36EC"/>
    <w:rsid w:val="00BD3FD2"/>
    <w:rsid w:val="00BD4890"/>
    <w:rsid w:val="00BD4A08"/>
    <w:rsid w:val="00BD4A52"/>
    <w:rsid w:val="00BD51CA"/>
    <w:rsid w:val="00BD541E"/>
    <w:rsid w:val="00BD5CD2"/>
    <w:rsid w:val="00BD6442"/>
    <w:rsid w:val="00BD77DE"/>
    <w:rsid w:val="00BD79C2"/>
    <w:rsid w:val="00BE0231"/>
    <w:rsid w:val="00BE138B"/>
    <w:rsid w:val="00BE1F0B"/>
    <w:rsid w:val="00BE1F2E"/>
    <w:rsid w:val="00BE1FA7"/>
    <w:rsid w:val="00BE2AD7"/>
    <w:rsid w:val="00BE2BAA"/>
    <w:rsid w:val="00BE3786"/>
    <w:rsid w:val="00BE37DD"/>
    <w:rsid w:val="00BE3FFA"/>
    <w:rsid w:val="00BE479D"/>
    <w:rsid w:val="00BE49C5"/>
    <w:rsid w:val="00BE4F8D"/>
    <w:rsid w:val="00BE590A"/>
    <w:rsid w:val="00BE5FEC"/>
    <w:rsid w:val="00BE73F0"/>
    <w:rsid w:val="00BE770F"/>
    <w:rsid w:val="00BE778C"/>
    <w:rsid w:val="00BF01D4"/>
    <w:rsid w:val="00BF0B80"/>
    <w:rsid w:val="00BF0E09"/>
    <w:rsid w:val="00BF122D"/>
    <w:rsid w:val="00BF1425"/>
    <w:rsid w:val="00BF20FB"/>
    <w:rsid w:val="00BF28FD"/>
    <w:rsid w:val="00BF2997"/>
    <w:rsid w:val="00BF34FF"/>
    <w:rsid w:val="00BF4456"/>
    <w:rsid w:val="00BF4C22"/>
    <w:rsid w:val="00BF4CCF"/>
    <w:rsid w:val="00BF4CD1"/>
    <w:rsid w:val="00BF4DD7"/>
    <w:rsid w:val="00BF51E4"/>
    <w:rsid w:val="00BF6043"/>
    <w:rsid w:val="00BF64B7"/>
    <w:rsid w:val="00BF659A"/>
    <w:rsid w:val="00BF739F"/>
    <w:rsid w:val="00BF76ED"/>
    <w:rsid w:val="00C00156"/>
    <w:rsid w:val="00C003C3"/>
    <w:rsid w:val="00C006F6"/>
    <w:rsid w:val="00C00838"/>
    <w:rsid w:val="00C008C6"/>
    <w:rsid w:val="00C00BE6"/>
    <w:rsid w:val="00C00F80"/>
    <w:rsid w:val="00C01250"/>
    <w:rsid w:val="00C012E6"/>
    <w:rsid w:val="00C01619"/>
    <w:rsid w:val="00C01B29"/>
    <w:rsid w:val="00C03041"/>
    <w:rsid w:val="00C03752"/>
    <w:rsid w:val="00C03815"/>
    <w:rsid w:val="00C03CCD"/>
    <w:rsid w:val="00C0410F"/>
    <w:rsid w:val="00C041F4"/>
    <w:rsid w:val="00C04B10"/>
    <w:rsid w:val="00C04C59"/>
    <w:rsid w:val="00C05227"/>
    <w:rsid w:val="00C0524E"/>
    <w:rsid w:val="00C05428"/>
    <w:rsid w:val="00C058A3"/>
    <w:rsid w:val="00C05E05"/>
    <w:rsid w:val="00C0711F"/>
    <w:rsid w:val="00C0727B"/>
    <w:rsid w:val="00C077E1"/>
    <w:rsid w:val="00C07B1A"/>
    <w:rsid w:val="00C1075E"/>
    <w:rsid w:val="00C107BE"/>
    <w:rsid w:val="00C10AE2"/>
    <w:rsid w:val="00C10B65"/>
    <w:rsid w:val="00C10BD0"/>
    <w:rsid w:val="00C10C03"/>
    <w:rsid w:val="00C112F7"/>
    <w:rsid w:val="00C1161D"/>
    <w:rsid w:val="00C12142"/>
    <w:rsid w:val="00C12391"/>
    <w:rsid w:val="00C129DF"/>
    <w:rsid w:val="00C12CC4"/>
    <w:rsid w:val="00C12CE6"/>
    <w:rsid w:val="00C12D9C"/>
    <w:rsid w:val="00C12ECB"/>
    <w:rsid w:val="00C13208"/>
    <w:rsid w:val="00C13270"/>
    <w:rsid w:val="00C133F5"/>
    <w:rsid w:val="00C13434"/>
    <w:rsid w:val="00C1360E"/>
    <w:rsid w:val="00C13759"/>
    <w:rsid w:val="00C13819"/>
    <w:rsid w:val="00C13CCA"/>
    <w:rsid w:val="00C142EA"/>
    <w:rsid w:val="00C14AD2"/>
    <w:rsid w:val="00C14CA5"/>
    <w:rsid w:val="00C1505E"/>
    <w:rsid w:val="00C15BE1"/>
    <w:rsid w:val="00C15CDF"/>
    <w:rsid w:val="00C15E0F"/>
    <w:rsid w:val="00C160D9"/>
    <w:rsid w:val="00C16222"/>
    <w:rsid w:val="00C163FD"/>
    <w:rsid w:val="00C168B2"/>
    <w:rsid w:val="00C16973"/>
    <w:rsid w:val="00C16B32"/>
    <w:rsid w:val="00C16FF1"/>
    <w:rsid w:val="00C17089"/>
    <w:rsid w:val="00C1715B"/>
    <w:rsid w:val="00C1757F"/>
    <w:rsid w:val="00C17625"/>
    <w:rsid w:val="00C1781E"/>
    <w:rsid w:val="00C17B74"/>
    <w:rsid w:val="00C17BCC"/>
    <w:rsid w:val="00C20358"/>
    <w:rsid w:val="00C20A09"/>
    <w:rsid w:val="00C20AEB"/>
    <w:rsid w:val="00C20E19"/>
    <w:rsid w:val="00C20F22"/>
    <w:rsid w:val="00C21FF8"/>
    <w:rsid w:val="00C220F2"/>
    <w:rsid w:val="00C223A0"/>
    <w:rsid w:val="00C2257A"/>
    <w:rsid w:val="00C23BBD"/>
    <w:rsid w:val="00C2455C"/>
    <w:rsid w:val="00C24638"/>
    <w:rsid w:val="00C25888"/>
    <w:rsid w:val="00C25988"/>
    <w:rsid w:val="00C25A4A"/>
    <w:rsid w:val="00C25E19"/>
    <w:rsid w:val="00C25FFE"/>
    <w:rsid w:val="00C26495"/>
    <w:rsid w:val="00C265C4"/>
    <w:rsid w:val="00C267EF"/>
    <w:rsid w:val="00C26C12"/>
    <w:rsid w:val="00C27201"/>
    <w:rsid w:val="00C273ED"/>
    <w:rsid w:val="00C27447"/>
    <w:rsid w:val="00C27891"/>
    <w:rsid w:val="00C27D45"/>
    <w:rsid w:val="00C300F5"/>
    <w:rsid w:val="00C3091B"/>
    <w:rsid w:val="00C30AED"/>
    <w:rsid w:val="00C30C5F"/>
    <w:rsid w:val="00C31073"/>
    <w:rsid w:val="00C314B5"/>
    <w:rsid w:val="00C315DF"/>
    <w:rsid w:val="00C3228E"/>
    <w:rsid w:val="00C32570"/>
    <w:rsid w:val="00C3257A"/>
    <w:rsid w:val="00C32C1E"/>
    <w:rsid w:val="00C32D53"/>
    <w:rsid w:val="00C32F69"/>
    <w:rsid w:val="00C3312E"/>
    <w:rsid w:val="00C33534"/>
    <w:rsid w:val="00C33CD5"/>
    <w:rsid w:val="00C340CF"/>
    <w:rsid w:val="00C34101"/>
    <w:rsid w:val="00C348FE"/>
    <w:rsid w:val="00C34A79"/>
    <w:rsid w:val="00C34DE5"/>
    <w:rsid w:val="00C34FBC"/>
    <w:rsid w:val="00C35087"/>
    <w:rsid w:val="00C3523B"/>
    <w:rsid w:val="00C35325"/>
    <w:rsid w:val="00C35716"/>
    <w:rsid w:val="00C358A8"/>
    <w:rsid w:val="00C35947"/>
    <w:rsid w:val="00C36FFE"/>
    <w:rsid w:val="00C37568"/>
    <w:rsid w:val="00C400B0"/>
    <w:rsid w:val="00C40A83"/>
    <w:rsid w:val="00C40D37"/>
    <w:rsid w:val="00C412E1"/>
    <w:rsid w:val="00C416FD"/>
    <w:rsid w:val="00C41B07"/>
    <w:rsid w:val="00C41E73"/>
    <w:rsid w:val="00C41FA0"/>
    <w:rsid w:val="00C4271F"/>
    <w:rsid w:val="00C42A6C"/>
    <w:rsid w:val="00C42B60"/>
    <w:rsid w:val="00C43AAC"/>
    <w:rsid w:val="00C43B94"/>
    <w:rsid w:val="00C43E4A"/>
    <w:rsid w:val="00C43FD4"/>
    <w:rsid w:val="00C4445E"/>
    <w:rsid w:val="00C44846"/>
    <w:rsid w:val="00C45A51"/>
    <w:rsid w:val="00C469E3"/>
    <w:rsid w:val="00C46C52"/>
    <w:rsid w:val="00C46E29"/>
    <w:rsid w:val="00C47155"/>
    <w:rsid w:val="00C47987"/>
    <w:rsid w:val="00C47CD2"/>
    <w:rsid w:val="00C47D56"/>
    <w:rsid w:val="00C507BC"/>
    <w:rsid w:val="00C510DE"/>
    <w:rsid w:val="00C5141C"/>
    <w:rsid w:val="00C51866"/>
    <w:rsid w:val="00C52094"/>
    <w:rsid w:val="00C52306"/>
    <w:rsid w:val="00C5237D"/>
    <w:rsid w:val="00C529EF"/>
    <w:rsid w:val="00C536E4"/>
    <w:rsid w:val="00C538AE"/>
    <w:rsid w:val="00C53C32"/>
    <w:rsid w:val="00C53E21"/>
    <w:rsid w:val="00C53E7A"/>
    <w:rsid w:val="00C5447E"/>
    <w:rsid w:val="00C54492"/>
    <w:rsid w:val="00C544B6"/>
    <w:rsid w:val="00C54601"/>
    <w:rsid w:val="00C54DD9"/>
    <w:rsid w:val="00C54E26"/>
    <w:rsid w:val="00C5508E"/>
    <w:rsid w:val="00C56A84"/>
    <w:rsid w:val="00C56F2C"/>
    <w:rsid w:val="00C575E8"/>
    <w:rsid w:val="00C5777E"/>
    <w:rsid w:val="00C57B20"/>
    <w:rsid w:val="00C57EB0"/>
    <w:rsid w:val="00C60984"/>
    <w:rsid w:val="00C60E33"/>
    <w:rsid w:val="00C6111A"/>
    <w:rsid w:val="00C61440"/>
    <w:rsid w:val="00C61801"/>
    <w:rsid w:val="00C618DF"/>
    <w:rsid w:val="00C62AB2"/>
    <w:rsid w:val="00C63E51"/>
    <w:rsid w:val="00C645F3"/>
    <w:rsid w:val="00C64B5C"/>
    <w:rsid w:val="00C64DA7"/>
    <w:rsid w:val="00C65030"/>
    <w:rsid w:val="00C652A1"/>
    <w:rsid w:val="00C655E4"/>
    <w:rsid w:val="00C65738"/>
    <w:rsid w:val="00C6590A"/>
    <w:rsid w:val="00C65FFB"/>
    <w:rsid w:val="00C6665F"/>
    <w:rsid w:val="00C66663"/>
    <w:rsid w:val="00C668D8"/>
    <w:rsid w:val="00C66BCD"/>
    <w:rsid w:val="00C66E74"/>
    <w:rsid w:val="00C67029"/>
    <w:rsid w:val="00C70054"/>
    <w:rsid w:val="00C700A9"/>
    <w:rsid w:val="00C70B38"/>
    <w:rsid w:val="00C70B43"/>
    <w:rsid w:val="00C715E0"/>
    <w:rsid w:val="00C71A56"/>
    <w:rsid w:val="00C71D24"/>
    <w:rsid w:val="00C72AF3"/>
    <w:rsid w:val="00C730CC"/>
    <w:rsid w:val="00C73DCF"/>
    <w:rsid w:val="00C7460A"/>
    <w:rsid w:val="00C74BD6"/>
    <w:rsid w:val="00C7532A"/>
    <w:rsid w:val="00C75721"/>
    <w:rsid w:val="00C75B52"/>
    <w:rsid w:val="00C760A6"/>
    <w:rsid w:val="00C760AB"/>
    <w:rsid w:val="00C762A9"/>
    <w:rsid w:val="00C762B7"/>
    <w:rsid w:val="00C765D4"/>
    <w:rsid w:val="00C76825"/>
    <w:rsid w:val="00C76D65"/>
    <w:rsid w:val="00C77C30"/>
    <w:rsid w:val="00C77C4B"/>
    <w:rsid w:val="00C77D50"/>
    <w:rsid w:val="00C80201"/>
    <w:rsid w:val="00C80B4E"/>
    <w:rsid w:val="00C80DC6"/>
    <w:rsid w:val="00C8110B"/>
    <w:rsid w:val="00C811CF"/>
    <w:rsid w:val="00C815E4"/>
    <w:rsid w:val="00C81A96"/>
    <w:rsid w:val="00C8290C"/>
    <w:rsid w:val="00C83017"/>
    <w:rsid w:val="00C84D07"/>
    <w:rsid w:val="00C8512B"/>
    <w:rsid w:val="00C85241"/>
    <w:rsid w:val="00C858C8"/>
    <w:rsid w:val="00C85A70"/>
    <w:rsid w:val="00C85A79"/>
    <w:rsid w:val="00C86242"/>
    <w:rsid w:val="00C86D64"/>
    <w:rsid w:val="00C87349"/>
    <w:rsid w:val="00C87B1C"/>
    <w:rsid w:val="00C87CDD"/>
    <w:rsid w:val="00C908BF"/>
    <w:rsid w:val="00C909EE"/>
    <w:rsid w:val="00C90D5B"/>
    <w:rsid w:val="00C90E27"/>
    <w:rsid w:val="00C910ED"/>
    <w:rsid w:val="00C914C9"/>
    <w:rsid w:val="00C9156F"/>
    <w:rsid w:val="00C915D0"/>
    <w:rsid w:val="00C91E57"/>
    <w:rsid w:val="00C91F1D"/>
    <w:rsid w:val="00C922E8"/>
    <w:rsid w:val="00C92F29"/>
    <w:rsid w:val="00C93188"/>
    <w:rsid w:val="00C93D87"/>
    <w:rsid w:val="00C94EF3"/>
    <w:rsid w:val="00C94F05"/>
    <w:rsid w:val="00C952A9"/>
    <w:rsid w:val="00C9534F"/>
    <w:rsid w:val="00C95587"/>
    <w:rsid w:val="00C95B22"/>
    <w:rsid w:val="00C95E98"/>
    <w:rsid w:val="00C95F67"/>
    <w:rsid w:val="00C961C0"/>
    <w:rsid w:val="00C965E4"/>
    <w:rsid w:val="00C9739A"/>
    <w:rsid w:val="00CA067A"/>
    <w:rsid w:val="00CA06E1"/>
    <w:rsid w:val="00CA13BF"/>
    <w:rsid w:val="00CA13F7"/>
    <w:rsid w:val="00CA1463"/>
    <w:rsid w:val="00CA1479"/>
    <w:rsid w:val="00CA14DE"/>
    <w:rsid w:val="00CA2518"/>
    <w:rsid w:val="00CA2A57"/>
    <w:rsid w:val="00CA2C4B"/>
    <w:rsid w:val="00CA30A9"/>
    <w:rsid w:val="00CA35EC"/>
    <w:rsid w:val="00CA3D36"/>
    <w:rsid w:val="00CA3EC4"/>
    <w:rsid w:val="00CA4249"/>
    <w:rsid w:val="00CA481F"/>
    <w:rsid w:val="00CA4EF3"/>
    <w:rsid w:val="00CA538F"/>
    <w:rsid w:val="00CA575F"/>
    <w:rsid w:val="00CA61C0"/>
    <w:rsid w:val="00CA61C6"/>
    <w:rsid w:val="00CA6F7C"/>
    <w:rsid w:val="00CA707F"/>
    <w:rsid w:val="00CA7326"/>
    <w:rsid w:val="00CA74B8"/>
    <w:rsid w:val="00CA7807"/>
    <w:rsid w:val="00CB03A2"/>
    <w:rsid w:val="00CB0652"/>
    <w:rsid w:val="00CB0A8A"/>
    <w:rsid w:val="00CB138C"/>
    <w:rsid w:val="00CB1531"/>
    <w:rsid w:val="00CB1B52"/>
    <w:rsid w:val="00CB1BD3"/>
    <w:rsid w:val="00CB21EF"/>
    <w:rsid w:val="00CB26B1"/>
    <w:rsid w:val="00CB2714"/>
    <w:rsid w:val="00CB2824"/>
    <w:rsid w:val="00CB2C75"/>
    <w:rsid w:val="00CB2F95"/>
    <w:rsid w:val="00CB30E7"/>
    <w:rsid w:val="00CB3270"/>
    <w:rsid w:val="00CB4982"/>
    <w:rsid w:val="00CB4DA4"/>
    <w:rsid w:val="00CB4E99"/>
    <w:rsid w:val="00CB557A"/>
    <w:rsid w:val="00CB6108"/>
    <w:rsid w:val="00CB644A"/>
    <w:rsid w:val="00CB6819"/>
    <w:rsid w:val="00CB6BFF"/>
    <w:rsid w:val="00CB7071"/>
    <w:rsid w:val="00CB75F9"/>
    <w:rsid w:val="00CB7D14"/>
    <w:rsid w:val="00CB7D9F"/>
    <w:rsid w:val="00CC05FA"/>
    <w:rsid w:val="00CC07A1"/>
    <w:rsid w:val="00CC0824"/>
    <w:rsid w:val="00CC0831"/>
    <w:rsid w:val="00CC08D7"/>
    <w:rsid w:val="00CC09F9"/>
    <w:rsid w:val="00CC0A9A"/>
    <w:rsid w:val="00CC0C6C"/>
    <w:rsid w:val="00CC0EA3"/>
    <w:rsid w:val="00CC156F"/>
    <w:rsid w:val="00CC17CC"/>
    <w:rsid w:val="00CC2062"/>
    <w:rsid w:val="00CC2311"/>
    <w:rsid w:val="00CC2B9C"/>
    <w:rsid w:val="00CC326E"/>
    <w:rsid w:val="00CC38EE"/>
    <w:rsid w:val="00CC4251"/>
    <w:rsid w:val="00CC42F8"/>
    <w:rsid w:val="00CC4BF4"/>
    <w:rsid w:val="00CC52AF"/>
    <w:rsid w:val="00CC566D"/>
    <w:rsid w:val="00CC6AA6"/>
    <w:rsid w:val="00CC6ACF"/>
    <w:rsid w:val="00CC6E8E"/>
    <w:rsid w:val="00CC70D1"/>
    <w:rsid w:val="00CC722F"/>
    <w:rsid w:val="00CC726E"/>
    <w:rsid w:val="00CC7476"/>
    <w:rsid w:val="00CC75EE"/>
    <w:rsid w:val="00CC7A4C"/>
    <w:rsid w:val="00CD0BAE"/>
    <w:rsid w:val="00CD1017"/>
    <w:rsid w:val="00CD1083"/>
    <w:rsid w:val="00CD129C"/>
    <w:rsid w:val="00CD12BA"/>
    <w:rsid w:val="00CD181E"/>
    <w:rsid w:val="00CD1A4C"/>
    <w:rsid w:val="00CD2A00"/>
    <w:rsid w:val="00CD2B0E"/>
    <w:rsid w:val="00CD2C45"/>
    <w:rsid w:val="00CD2F14"/>
    <w:rsid w:val="00CD387C"/>
    <w:rsid w:val="00CD3ACD"/>
    <w:rsid w:val="00CD3B0A"/>
    <w:rsid w:val="00CD3E13"/>
    <w:rsid w:val="00CD43F3"/>
    <w:rsid w:val="00CD451C"/>
    <w:rsid w:val="00CD474C"/>
    <w:rsid w:val="00CD506E"/>
    <w:rsid w:val="00CD5379"/>
    <w:rsid w:val="00CD5589"/>
    <w:rsid w:val="00CD55ED"/>
    <w:rsid w:val="00CD5CCC"/>
    <w:rsid w:val="00CD5DDD"/>
    <w:rsid w:val="00CD5E15"/>
    <w:rsid w:val="00CD6B16"/>
    <w:rsid w:val="00CD6B5E"/>
    <w:rsid w:val="00CD7422"/>
    <w:rsid w:val="00CE0836"/>
    <w:rsid w:val="00CE0950"/>
    <w:rsid w:val="00CE0FC5"/>
    <w:rsid w:val="00CE11D8"/>
    <w:rsid w:val="00CE1215"/>
    <w:rsid w:val="00CE1648"/>
    <w:rsid w:val="00CE1A05"/>
    <w:rsid w:val="00CE1A90"/>
    <w:rsid w:val="00CE1B3A"/>
    <w:rsid w:val="00CE1C5C"/>
    <w:rsid w:val="00CE1CA9"/>
    <w:rsid w:val="00CE1E07"/>
    <w:rsid w:val="00CE2567"/>
    <w:rsid w:val="00CE2768"/>
    <w:rsid w:val="00CE2A65"/>
    <w:rsid w:val="00CE3037"/>
    <w:rsid w:val="00CE32AD"/>
    <w:rsid w:val="00CE3361"/>
    <w:rsid w:val="00CE3F49"/>
    <w:rsid w:val="00CE4581"/>
    <w:rsid w:val="00CE49B0"/>
    <w:rsid w:val="00CE4EA8"/>
    <w:rsid w:val="00CE5261"/>
    <w:rsid w:val="00CE584B"/>
    <w:rsid w:val="00CE5A0A"/>
    <w:rsid w:val="00CE670D"/>
    <w:rsid w:val="00CE6C5C"/>
    <w:rsid w:val="00CE72F6"/>
    <w:rsid w:val="00CE79E7"/>
    <w:rsid w:val="00CE7A84"/>
    <w:rsid w:val="00CE7E35"/>
    <w:rsid w:val="00CE7FF2"/>
    <w:rsid w:val="00CF0E8B"/>
    <w:rsid w:val="00CF1090"/>
    <w:rsid w:val="00CF12DA"/>
    <w:rsid w:val="00CF17FD"/>
    <w:rsid w:val="00CF1AB9"/>
    <w:rsid w:val="00CF1B03"/>
    <w:rsid w:val="00CF1B1E"/>
    <w:rsid w:val="00CF1B2A"/>
    <w:rsid w:val="00CF1E58"/>
    <w:rsid w:val="00CF1F79"/>
    <w:rsid w:val="00CF2499"/>
    <w:rsid w:val="00CF2B1C"/>
    <w:rsid w:val="00CF2B8E"/>
    <w:rsid w:val="00CF2BEB"/>
    <w:rsid w:val="00CF3425"/>
    <w:rsid w:val="00CF39B2"/>
    <w:rsid w:val="00CF3E3D"/>
    <w:rsid w:val="00CF4060"/>
    <w:rsid w:val="00CF52EB"/>
    <w:rsid w:val="00CF566F"/>
    <w:rsid w:val="00CF585D"/>
    <w:rsid w:val="00CF5CA8"/>
    <w:rsid w:val="00CF6B7B"/>
    <w:rsid w:val="00CF72BD"/>
    <w:rsid w:val="00CF767E"/>
    <w:rsid w:val="00CF78C0"/>
    <w:rsid w:val="00CF7A18"/>
    <w:rsid w:val="00CF7B46"/>
    <w:rsid w:val="00D015A8"/>
    <w:rsid w:val="00D024F9"/>
    <w:rsid w:val="00D027F9"/>
    <w:rsid w:val="00D0282A"/>
    <w:rsid w:val="00D030CF"/>
    <w:rsid w:val="00D032AA"/>
    <w:rsid w:val="00D03351"/>
    <w:rsid w:val="00D034CA"/>
    <w:rsid w:val="00D03A3E"/>
    <w:rsid w:val="00D03A50"/>
    <w:rsid w:val="00D03B1A"/>
    <w:rsid w:val="00D03E97"/>
    <w:rsid w:val="00D040BB"/>
    <w:rsid w:val="00D04587"/>
    <w:rsid w:val="00D056E9"/>
    <w:rsid w:val="00D05CB6"/>
    <w:rsid w:val="00D061FB"/>
    <w:rsid w:val="00D06325"/>
    <w:rsid w:val="00D07684"/>
    <w:rsid w:val="00D076A6"/>
    <w:rsid w:val="00D07F59"/>
    <w:rsid w:val="00D10328"/>
    <w:rsid w:val="00D104B2"/>
    <w:rsid w:val="00D10986"/>
    <w:rsid w:val="00D11207"/>
    <w:rsid w:val="00D11379"/>
    <w:rsid w:val="00D11BB2"/>
    <w:rsid w:val="00D121AC"/>
    <w:rsid w:val="00D124B2"/>
    <w:rsid w:val="00D12F1F"/>
    <w:rsid w:val="00D13207"/>
    <w:rsid w:val="00D13358"/>
    <w:rsid w:val="00D1342C"/>
    <w:rsid w:val="00D142FA"/>
    <w:rsid w:val="00D14873"/>
    <w:rsid w:val="00D14C06"/>
    <w:rsid w:val="00D14DAF"/>
    <w:rsid w:val="00D1564A"/>
    <w:rsid w:val="00D156E5"/>
    <w:rsid w:val="00D15AF0"/>
    <w:rsid w:val="00D16747"/>
    <w:rsid w:val="00D173C9"/>
    <w:rsid w:val="00D175C7"/>
    <w:rsid w:val="00D17A5B"/>
    <w:rsid w:val="00D17E09"/>
    <w:rsid w:val="00D204AB"/>
    <w:rsid w:val="00D20886"/>
    <w:rsid w:val="00D21045"/>
    <w:rsid w:val="00D212D8"/>
    <w:rsid w:val="00D21835"/>
    <w:rsid w:val="00D22565"/>
    <w:rsid w:val="00D22955"/>
    <w:rsid w:val="00D22998"/>
    <w:rsid w:val="00D22E00"/>
    <w:rsid w:val="00D243F0"/>
    <w:rsid w:val="00D2494E"/>
    <w:rsid w:val="00D251E6"/>
    <w:rsid w:val="00D255D3"/>
    <w:rsid w:val="00D259B0"/>
    <w:rsid w:val="00D26097"/>
    <w:rsid w:val="00D261C5"/>
    <w:rsid w:val="00D26391"/>
    <w:rsid w:val="00D265B4"/>
    <w:rsid w:val="00D266F9"/>
    <w:rsid w:val="00D2699D"/>
    <w:rsid w:val="00D271CA"/>
    <w:rsid w:val="00D273AE"/>
    <w:rsid w:val="00D27747"/>
    <w:rsid w:val="00D27A96"/>
    <w:rsid w:val="00D27BF7"/>
    <w:rsid w:val="00D30720"/>
    <w:rsid w:val="00D30729"/>
    <w:rsid w:val="00D307EE"/>
    <w:rsid w:val="00D30EAF"/>
    <w:rsid w:val="00D30F1A"/>
    <w:rsid w:val="00D3129F"/>
    <w:rsid w:val="00D314F6"/>
    <w:rsid w:val="00D31A4F"/>
    <w:rsid w:val="00D31D6C"/>
    <w:rsid w:val="00D31D99"/>
    <w:rsid w:val="00D32655"/>
    <w:rsid w:val="00D32C3A"/>
    <w:rsid w:val="00D32CDD"/>
    <w:rsid w:val="00D32E0D"/>
    <w:rsid w:val="00D33078"/>
    <w:rsid w:val="00D3326D"/>
    <w:rsid w:val="00D33977"/>
    <w:rsid w:val="00D3400E"/>
    <w:rsid w:val="00D34097"/>
    <w:rsid w:val="00D3462A"/>
    <w:rsid w:val="00D3544C"/>
    <w:rsid w:val="00D3544F"/>
    <w:rsid w:val="00D36177"/>
    <w:rsid w:val="00D36535"/>
    <w:rsid w:val="00D3719F"/>
    <w:rsid w:val="00D371B7"/>
    <w:rsid w:val="00D371C8"/>
    <w:rsid w:val="00D37F4D"/>
    <w:rsid w:val="00D4061B"/>
    <w:rsid w:val="00D4125F"/>
    <w:rsid w:val="00D41449"/>
    <w:rsid w:val="00D41500"/>
    <w:rsid w:val="00D431DA"/>
    <w:rsid w:val="00D43450"/>
    <w:rsid w:val="00D43D75"/>
    <w:rsid w:val="00D43F48"/>
    <w:rsid w:val="00D43F90"/>
    <w:rsid w:val="00D44156"/>
    <w:rsid w:val="00D44198"/>
    <w:rsid w:val="00D44576"/>
    <w:rsid w:val="00D445B3"/>
    <w:rsid w:val="00D44C60"/>
    <w:rsid w:val="00D453B5"/>
    <w:rsid w:val="00D45977"/>
    <w:rsid w:val="00D46449"/>
    <w:rsid w:val="00D46DBF"/>
    <w:rsid w:val="00D46F26"/>
    <w:rsid w:val="00D47260"/>
    <w:rsid w:val="00D47591"/>
    <w:rsid w:val="00D50F4A"/>
    <w:rsid w:val="00D51089"/>
    <w:rsid w:val="00D518C4"/>
    <w:rsid w:val="00D5228C"/>
    <w:rsid w:val="00D525FB"/>
    <w:rsid w:val="00D52E06"/>
    <w:rsid w:val="00D53102"/>
    <w:rsid w:val="00D53112"/>
    <w:rsid w:val="00D53650"/>
    <w:rsid w:val="00D548FF"/>
    <w:rsid w:val="00D549F5"/>
    <w:rsid w:val="00D54B02"/>
    <w:rsid w:val="00D54B87"/>
    <w:rsid w:val="00D553C7"/>
    <w:rsid w:val="00D5648F"/>
    <w:rsid w:val="00D564EF"/>
    <w:rsid w:val="00D5651D"/>
    <w:rsid w:val="00D56EF4"/>
    <w:rsid w:val="00D56EFF"/>
    <w:rsid w:val="00D572A0"/>
    <w:rsid w:val="00D579A8"/>
    <w:rsid w:val="00D57B21"/>
    <w:rsid w:val="00D57B9A"/>
    <w:rsid w:val="00D57E88"/>
    <w:rsid w:val="00D57F0C"/>
    <w:rsid w:val="00D60190"/>
    <w:rsid w:val="00D602D3"/>
    <w:rsid w:val="00D605A5"/>
    <w:rsid w:val="00D606A0"/>
    <w:rsid w:val="00D60942"/>
    <w:rsid w:val="00D60A2F"/>
    <w:rsid w:val="00D60AEC"/>
    <w:rsid w:val="00D60DAB"/>
    <w:rsid w:val="00D61A8A"/>
    <w:rsid w:val="00D62369"/>
    <w:rsid w:val="00D623AA"/>
    <w:rsid w:val="00D62A24"/>
    <w:rsid w:val="00D62FAC"/>
    <w:rsid w:val="00D634A4"/>
    <w:rsid w:val="00D635B0"/>
    <w:rsid w:val="00D63717"/>
    <w:rsid w:val="00D637A9"/>
    <w:rsid w:val="00D63BE1"/>
    <w:rsid w:val="00D63F71"/>
    <w:rsid w:val="00D650C0"/>
    <w:rsid w:val="00D65280"/>
    <w:rsid w:val="00D6616F"/>
    <w:rsid w:val="00D6699B"/>
    <w:rsid w:val="00D67EE4"/>
    <w:rsid w:val="00D7009E"/>
    <w:rsid w:val="00D70305"/>
    <w:rsid w:val="00D70C63"/>
    <w:rsid w:val="00D710C5"/>
    <w:rsid w:val="00D71705"/>
    <w:rsid w:val="00D71888"/>
    <w:rsid w:val="00D71B45"/>
    <w:rsid w:val="00D722C1"/>
    <w:rsid w:val="00D72437"/>
    <w:rsid w:val="00D724A9"/>
    <w:rsid w:val="00D726A5"/>
    <w:rsid w:val="00D727AC"/>
    <w:rsid w:val="00D72AC2"/>
    <w:rsid w:val="00D72CAE"/>
    <w:rsid w:val="00D73B89"/>
    <w:rsid w:val="00D73F04"/>
    <w:rsid w:val="00D74660"/>
    <w:rsid w:val="00D74797"/>
    <w:rsid w:val="00D74968"/>
    <w:rsid w:val="00D749D2"/>
    <w:rsid w:val="00D74D9B"/>
    <w:rsid w:val="00D74EF1"/>
    <w:rsid w:val="00D750A2"/>
    <w:rsid w:val="00D754BF"/>
    <w:rsid w:val="00D75650"/>
    <w:rsid w:val="00D756E8"/>
    <w:rsid w:val="00D75BD0"/>
    <w:rsid w:val="00D75EC0"/>
    <w:rsid w:val="00D765B7"/>
    <w:rsid w:val="00D76941"/>
    <w:rsid w:val="00D76D7E"/>
    <w:rsid w:val="00D801EB"/>
    <w:rsid w:val="00D80747"/>
    <w:rsid w:val="00D8099F"/>
    <w:rsid w:val="00D809FF"/>
    <w:rsid w:val="00D80E48"/>
    <w:rsid w:val="00D810F2"/>
    <w:rsid w:val="00D81285"/>
    <w:rsid w:val="00D81B9A"/>
    <w:rsid w:val="00D822C6"/>
    <w:rsid w:val="00D82890"/>
    <w:rsid w:val="00D82F48"/>
    <w:rsid w:val="00D83E5E"/>
    <w:rsid w:val="00D843D6"/>
    <w:rsid w:val="00D8492A"/>
    <w:rsid w:val="00D84DF3"/>
    <w:rsid w:val="00D85138"/>
    <w:rsid w:val="00D85237"/>
    <w:rsid w:val="00D85475"/>
    <w:rsid w:val="00D85A2F"/>
    <w:rsid w:val="00D85FBE"/>
    <w:rsid w:val="00D863ED"/>
    <w:rsid w:val="00D86605"/>
    <w:rsid w:val="00D87BDC"/>
    <w:rsid w:val="00D9096B"/>
    <w:rsid w:val="00D90D1C"/>
    <w:rsid w:val="00D90D5C"/>
    <w:rsid w:val="00D90ED4"/>
    <w:rsid w:val="00D90FF0"/>
    <w:rsid w:val="00D91838"/>
    <w:rsid w:val="00D920E8"/>
    <w:rsid w:val="00D92722"/>
    <w:rsid w:val="00D92BF2"/>
    <w:rsid w:val="00D93295"/>
    <w:rsid w:val="00D9335B"/>
    <w:rsid w:val="00D93DAF"/>
    <w:rsid w:val="00D93F69"/>
    <w:rsid w:val="00D94008"/>
    <w:rsid w:val="00D941AE"/>
    <w:rsid w:val="00D94E5E"/>
    <w:rsid w:val="00D94F2C"/>
    <w:rsid w:val="00D95387"/>
    <w:rsid w:val="00D96138"/>
    <w:rsid w:val="00D96477"/>
    <w:rsid w:val="00D965AB"/>
    <w:rsid w:val="00D96747"/>
    <w:rsid w:val="00D9694E"/>
    <w:rsid w:val="00D96AB7"/>
    <w:rsid w:val="00D96B07"/>
    <w:rsid w:val="00D96BD2"/>
    <w:rsid w:val="00D973BC"/>
    <w:rsid w:val="00D974D7"/>
    <w:rsid w:val="00D974EC"/>
    <w:rsid w:val="00D97594"/>
    <w:rsid w:val="00DA002B"/>
    <w:rsid w:val="00DA0351"/>
    <w:rsid w:val="00DA0417"/>
    <w:rsid w:val="00DA059A"/>
    <w:rsid w:val="00DA0676"/>
    <w:rsid w:val="00DA08F0"/>
    <w:rsid w:val="00DA0F27"/>
    <w:rsid w:val="00DA12D4"/>
    <w:rsid w:val="00DA156A"/>
    <w:rsid w:val="00DA1DA8"/>
    <w:rsid w:val="00DA1EB4"/>
    <w:rsid w:val="00DA22C1"/>
    <w:rsid w:val="00DA24B0"/>
    <w:rsid w:val="00DA2582"/>
    <w:rsid w:val="00DA2694"/>
    <w:rsid w:val="00DA3CF1"/>
    <w:rsid w:val="00DA4B0E"/>
    <w:rsid w:val="00DA4F5B"/>
    <w:rsid w:val="00DA50E4"/>
    <w:rsid w:val="00DA5BEB"/>
    <w:rsid w:val="00DA6BFD"/>
    <w:rsid w:val="00DA71DC"/>
    <w:rsid w:val="00DA75D1"/>
    <w:rsid w:val="00DA7645"/>
    <w:rsid w:val="00DA7BD3"/>
    <w:rsid w:val="00DA7E15"/>
    <w:rsid w:val="00DA7FC8"/>
    <w:rsid w:val="00DB01FE"/>
    <w:rsid w:val="00DB02FF"/>
    <w:rsid w:val="00DB0EBC"/>
    <w:rsid w:val="00DB10BD"/>
    <w:rsid w:val="00DB1433"/>
    <w:rsid w:val="00DB197C"/>
    <w:rsid w:val="00DB1AAF"/>
    <w:rsid w:val="00DB1F7A"/>
    <w:rsid w:val="00DB2085"/>
    <w:rsid w:val="00DB26B5"/>
    <w:rsid w:val="00DB2E1D"/>
    <w:rsid w:val="00DB3473"/>
    <w:rsid w:val="00DB3AA0"/>
    <w:rsid w:val="00DB3C49"/>
    <w:rsid w:val="00DB41B9"/>
    <w:rsid w:val="00DB4243"/>
    <w:rsid w:val="00DB42C2"/>
    <w:rsid w:val="00DB444B"/>
    <w:rsid w:val="00DB4588"/>
    <w:rsid w:val="00DB4628"/>
    <w:rsid w:val="00DB4714"/>
    <w:rsid w:val="00DB4788"/>
    <w:rsid w:val="00DB4ABE"/>
    <w:rsid w:val="00DB4D04"/>
    <w:rsid w:val="00DB510A"/>
    <w:rsid w:val="00DB5178"/>
    <w:rsid w:val="00DB5386"/>
    <w:rsid w:val="00DB5ABE"/>
    <w:rsid w:val="00DB5D7F"/>
    <w:rsid w:val="00DB6292"/>
    <w:rsid w:val="00DB63E6"/>
    <w:rsid w:val="00DB64D1"/>
    <w:rsid w:val="00DB67E7"/>
    <w:rsid w:val="00DB68BB"/>
    <w:rsid w:val="00DB6FA2"/>
    <w:rsid w:val="00DB742E"/>
    <w:rsid w:val="00DB7A7A"/>
    <w:rsid w:val="00DB7F10"/>
    <w:rsid w:val="00DC151C"/>
    <w:rsid w:val="00DC1524"/>
    <w:rsid w:val="00DC1889"/>
    <w:rsid w:val="00DC1CA3"/>
    <w:rsid w:val="00DC2221"/>
    <w:rsid w:val="00DC2A33"/>
    <w:rsid w:val="00DC2C67"/>
    <w:rsid w:val="00DC3214"/>
    <w:rsid w:val="00DC3579"/>
    <w:rsid w:val="00DC3E0F"/>
    <w:rsid w:val="00DC43AE"/>
    <w:rsid w:val="00DC466F"/>
    <w:rsid w:val="00DC4841"/>
    <w:rsid w:val="00DC4BB3"/>
    <w:rsid w:val="00DC51EE"/>
    <w:rsid w:val="00DC5533"/>
    <w:rsid w:val="00DC5770"/>
    <w:rsid w:val="00DC59D7"/>
    <w:rsid w:val="00DC6A8F"/>
    <w:rsid w:val="00DC6E13"/>
    <w:rsid w:val="00DC6E1B"/>
    <w:rsid w:val="00DC7610"/>
    <w:rsid w:val="00DC7EBE"/>
    <w:rsid w:val="00DD104C"/>
    <w:rsid w:val="00DD1283"/>
    <w:rsid w:val="00DD12EF"/>
    <w:rsid w:val="00DD158F"/>
    <w:rsid w:val="00DD16FB"/>
    <w:rsid w:val="00DD235A"/>
    <w:rsid w:val="00DD2381"/>
    <w:rsid w:val="00DD2B1D"/>
    <w:rsid w:val="00DD3821"/>
    <w:rsid w:val="00DD391B"/>
    <w:rsid w:val="00DD3C6B"/>
    <w:rsid w:val="00DD4169"/>
    <w:rsid w:val="00DD4370"/>
    <w:rsid w:val="00DD45D3"/>
    <w:rsid w:val="00DD48F3"/>
    <w:rsid w:val="00DD4A6F"/>
    <w:rsid w:val="00DD4E0C"/>
    <w:rsid w:val="00DD5A2A"/>
    <w:rsid w:val="00DD662B"/>
    <w:rsid w:val="00DD6C92"/>
    <w:rsid w:val="00DD7CCD"/>
    <w:rsid w:val="00DE01AB"/>
    <w:rsid w:val="00DE0901"/>
    <w:rsid w:val="00DE0B85"/>
    <w:rsid w:val="00DE12BD"/>
    <w:rsid w:val="00DE1532"/>
    <w:rsid w:val="00DE179B"/>
    <w:rsid w:val="00DE292D"/>
    <w:rsid w:val="00DE2AA3"/>
    <w:rsid w:val="00DE303B"/>
    <w:rsid w:val="00DE30D1"/>
    <w:rsid w:val="00DE35FA"/>
    <w:rsid w:val="00DE3B74"/>
    <w:rsid w:val="00DE40F7"/>
    <w:rsid w:val="00DE47DF"/>
    <w:rsid w:val="00DE4D21"/>
    <w:rsid w:val="00DE5497"/>
    <w:rsid w:val="00DE5EA6"/>
    <w:rsid w:val="00DE5F41"/>
    <w:rsid w:val="00DE61FB"/>
    <w:rsid w:val="00DE6B6A"/>
    <w:rsid w:val="00DE70F4"/>
    <w:rsid w:val="00DE730F"/>
    <w:rsid w:val="00DE731D"/>
    <w:rsid w:val="00DE7A1D"/>
    <w:rsid w:val="00DE7C9E"/>
    <w:rsid w:val="00DF01D9"/>
    <w:rsid w:val="00DF0A8D"/>
    <w:rsid w:val="00DF0E97"/>
    <w:rsid w:val="00DF11F0"/>
    <w:rsid w:val="00DF1745"/>
    <w:rsid w:val="00DF1956"/>
    <w:rsid w:val="00DF1AD2"/>
    <w:rsid w:val="00DF1B70"/>
    <w:rsid w:val="00DF1D62"/>
    <w:rsid w:val="00DF2170"/>
    <w:rsid w:val="00DF2203"/>
    <w:rsid w:val="00DF22CB"/>
    <w:rsid w:val="00DF2FC2"/>
    <w:rsid w:val="00DF3B95"/>
    <w:rsid w:val="00DF3D62"/>
    <w:rsid w:val="00DF3E5A"/>
    <w:rsid w:val="00DF4731"/>
    <w:rsid w:val="00DF4F43"/>
    <w:rsid w:val="00DF4FD4"/>
    <w:rsid w:val="00DF562B"/>
    <w:rsid w:val="00DF572E"/>
    <w:rsid w:val="00DF596A"/>
    <w:rsid w:val="00DF5BE6"/>
    <w:rsid w:val="00DF5C10"/>
    <w:rsid w:val="00DF6DA6"/>
    <w:rsid w:val="00DF708D"/>
    <w:rsid w:val="00DF7819"/>
    <w:rsid w:val="00DF7C5C"/>
    <w:rsid w:val="00DF7EB8"/>
    <w:rsid w:val="00DF7F0A"/>
    <w:rsid w:val="00E0031E"/>
    <w:rsid w:val="00E00496"/>
    <w:rsid w:val="00E00FD5"/>
    <w:rsid w:val="00E01133"/>
    <w:rsid w:val="00E01206"/>
    <w:rsid w:val="00E01956"/>
    <w:rsid w:val="00E02047"/>
    <w:rsid w:val="00E023E5"/>
    <w:rsid w:val="00E02420"/>
    <w:rsid w:val="00E02837"/>
    <w:rsid w:val="00E04094"/>
    <w:rsid w:val="00E0443C"/>
    <w:rsid w:val="00E04739"/>
    <w:rsid w:val="00E04B4F"/>
    <w:rsid w:val="00E052D0"/>
    <w:rsid w:val="00E055C2"/>
    <w:rsid w:val="00E05AE7"/>
    <w:rsid w:val="00E0607C"/>
    <w:rsid w:val="00E06B03"/>
    <w:rsid w:val="00E06FD6"/>
    <w:rsid w:val="00E0719A"/>
    <w:rsid w:val="00E0741D"/>
    <w:rsid w:val="00E074C1"/>
    <w:rsid w:val="00E0755B"/>
    <w:rsid w:val="00E07B79"/>
    <w:rsid w:val="00E07CDC"/>
    <w:rsid w:val="00E1006A"/>
    <w:rsid w:val="00E103D6"/>
    <w:rsid w:val="00E105B9"/>
    <w:rsid w:val="00E1079E"/>
    <w:rsid w:val="00E10F6A"/>
    <w:rsid w:val="00E112FA"/>
    <w:rsid w:val="00E113FC"/>
    <w:rsid w:val="00E118C3"/>
    <w:rsid w:val="00E12CED"/>
    <w:rsid w:val="00E1327D"/>
    <w:rsid w:val="00E13D2C"/>
    <w:rsid w:val="00E13EE3"/>
    <w:rsid w:val="00E148CD"/>
    <w:rsid w:val="00E14E22"/>
    <w:rsid w:val="00E14FF5"/>
    <w:rsid w:val="00E1566D"/>
    <w:rsid w:val="00E15713"/>
    <w:rsid w:val="00E157DB"/>
    <w:rsid w:val="00E162DA"/>
    <w:rsid w:val="00E16682"/>
    <w:rsid w:val="00E1678A"/>
    <w:rsid w:val="00E16D9D"/>
    <w:rsid w:val="00E17549"/>
    <w:rsid w:val="00E17BAE"/>
    <w:rsid w:val="00E17E85"/>
    <w:rsid w:val="00E17E99"/>
    <w:rsid w:val="00E2002A"/>
    <w:rsid w:val="00E2055A"/>
    <w:rsid w:val="00E20ACF"/>
    <w:rsid w:val="00E20D30"/>
    <w:rsid w:val="00E21F2D"/>
    <w:rsid w:val="00E21F5C"/>
    <w:rsid w:val="00E22738"/>
    <w:rsid w:val="00E22A26"/>
    <w:rsid w:val="00E22DD9"/>
    <w:rsid w:val="00E2308F"/>
    <w:rsid w:val="00E2336E"/>
    <w:rsid w:val="00E235AD"/>
    <w:rsid w:val="00E23655"/>
    <w:rsid w:val="00E23AB9"/>
    <w:rsid w:val="00E23AC4"/>
    <w:rsid w:val="00E23ED2"/>
    <w:rsid w:val="00E24A7B"/>
    <w:rsid w:val="00E24B30"/>
    <w:rsid w:val="00E24DAA"/>
    <w:rsid w:val="00E2553A"/>
    <w:rsid w:val="00E256F7"/>
    <w:rsid w:val="00E25995"/>
    <w:rsid w:val="00E25CAC"/>
    <w:rsid w:val="00E25D57"/>
    <w:rsid w:val="00E2603F"/>
    <w:rsid w:val="00E26257"/>
    <w:rsid w:val="00E264AD"/>
    <w:rsid w:val="00E27074"/>
    <w:rsid w:val="00E27E1C"/>
    <w:rsid w:val="00E300F2"/>
    <w:rsid w:val="00E307FD"/>
    <w:rsid w:val="00E31966"/>
    <w:rsid w:val="00E3203D"/>
    <w:rsid w:val="00E32152"/>
    <w:rsid w:val="00E32950"/>
    <w:rsid w:val="00E32AE4"/>
    <w:rsid w:val="00E32BD1"/>
    <w:rsid w:val="00E32D6A"/>
    <w:rsid w:val="00E33396"/>
    <w:rsid w:val="00E335C5"/>
    <w:rsid w:val="00E33605"/>
    <w:rsid w:val="00E337EE"/>
    <w:rsid w:val="00E33D24"/>
    <w:rsid w:val="00E33E8E"/>
    <w:rsid w:val="00E341A3"/>
    <w:rsid w:val="00E34706"/>
    <w:rsid w:val="00E34ED4"/>
    <w:rsid w:val="00E35580"/>
    <w:rsid w:val="00E35622"/>
    <w:rsid w:val="00E35D81"/>
    <w:rsid w:val="00E36DD5"/>
    <w:rsid w:val="00E371D8"/>
    <w:rsid w:val="00E374D8"/>
    <w:rsid w:val="00E3751A"/>
    <w:rsid w:val="00E377A6"/>
    <w:rsid w:val="00E37DF9"/>
    <w:rsid w:val="00E37FD5"/>
    <w:rsid w:val="00E4005E"/>
    <w:rsid w:val="00E40A1E"/>
    <w:rsid w:val="00E40C6E"/>
    <w:rsid w:val="00E40F8B"/>
    <w:rsid w:val="00E4113E"/>
    <w:rsid w:val="00E41CF2"/>
    <w:rsid w:val="00E41D23"/>
    <w:rsid w:val="00E4297F"/>
    <w:rsid w:val="00E429D6"/>
    <w:rsid w:val="00E438F7"/>
    <w:rsid w:val="00E439E8"/>
    <w:rsid w:val="00E43E29"/>
    <w:rsid w:val="00E43EE5"/>
    <w:rsid w:val="00E445DC"/>
    <w:rsid w:val="00E44ACD"/>
    <w:rsid w:val="00E44CB9"/>
    <w:rsid w:val="00E44E8F"/>
    <w:rsid w:val="00E44EDD"/>
    <w:rsid w:val="00E45343"/>
    <w:rsid w:val="00E45AF1"/>
    <w:rsid w:val="00E45B97"/>
    <w:rsid w:val="00E46852"/>
    <w:rsid w:val="00E46AB1"/>
    <w:rsid w:val="00E46B45"/>
    <w:rsid w:val="00E4735F"/>
    <w:rsid w:val="00E476EF"/>
    <w:rsid w:val="00E479FF"/>
    <w:rsid w:val="00E47C69"/>
    <w:rsid w:val="00E50D13"/>
    <w:rsid w:val="00E51392"/>
    <w:rsid w:val="00E51491"/>
    <w:rsid w:val="00E515B1"/>
    <w:rsid w:val="00E51662"/>
    <w:rsid w:val="00E51CC4"/>
    <w:rsid w:val="00E52641"/>
    <w:rsid w:val="00E5269A"/>
    <w:rsid w:val="00E52B7F"/>
    <w:rsid w:val="00E52F98"/>
    <w:rsid w:val="00E535D1"/>
    <w:rsid w:val="00E536FC"/>
    <w:rsid w:val="00E53AA6"/>
    <w:rsid w:val="00E53C6C"/>
    <w:rsid w:val="00E53CB2"/>
    <w:rsid w:val="00E53D6A"/>
    <w:rsid w:val="00E54529"/>
    <w:rsid w:val="00E54898"/>
    <w:rsid w:val="00E55558"/>
    <w:rsid w:val="00E55BB8"/>
    <w:rsid w:val="00E561E4"/>
    <w:rsid w:val="00E56344"/>
    <w:rsid w:val="00E57409"/>
    <w:rsid w:val="00E57E87"/>
    <w:rsid w:val="00E6023B"/>
    <w:rsid w:val="00E605E4"/>
    <w:rsid w:val="00E60D2B"/>
    <w:rsid w:val="00E60DE1"/>
    <w:rsid w:val="00E61076"/>
    <w:rsid w:val="00E61812"/>
    <w:rsid w:val="00E62CF0"/>
    <w:rsid w:val="00E62E5D"/>
    <w:rsid w:val="00E63579"/>
    <w:rsid w:val="00E64C99"/>
    <w:rsid w:val="00E65073"/>
    <w:rsid w:val="00E65A2F"/>
    <w:rsid w:val="00E65E8C"/>
    <w:rsid w:val="00E666CF"/>
    <w:rsid w:val="00E66800"/>
    <w:rsid w:val="00E668DF"/>
    <w:rsid w:val="00E66D78"/>
    <w:rsid w:val="00E673C1"/>
    <w:rsid w:val="00E678E5"/>
    <w:rsid w:val="00E679F4"/>
    <w:rsid w:val="00E67B20"/>
    <w:rsid w:val="00E67C5C"/>
    <w:rsid w:val="00E67E55"/>
    <w:rsid w:val="00E70504"/>
    <w:rsid w:val="00E71198"/>
    <w:rsid w:val="00E71E4F"/>
    <w:rsid w:val="00E72486"/>
    <w:rsid w:val="00E724EF"/>
    <w:rsid w:val="00E7264E"/>
    <w:rsid w:val="00E72651"/>
    <w:rsid w:val="00E72779"/>
    <w:rsid w:val="00E73957"/>
    <w:rsid w:val="00E73C90"/>
    <w:rsid w:val="00E73D3A"/>
    <w:rsid w:val="00E7412C"/>
    <w:rsid w:val="00E743A1"/>
    <w:rsid w:val="00E7477B"/>
    <w:rsid w:val="00E74BC5"/>
    <w:rsid w:val="00E74F05"/>
    <w:rsid w:val="00E7501A"/>
    <w:rsid w:val="00E7509A"/>
    <w:rsid w:val="00E7518B"/>
    <w:rsid w:val="00E7593F"/>
    <w:rsid w:val="00E76497"/>
    <w:rsid w:val="00E76C33"/>
    <w:rsid w:val="00E8011B"/>
    <w:rsid w:val="00E801FE"/>
    <w:rsid w:val="00E80768"/>
    <w:rsid w:val="00E80901"/>
    <w:rsid w:val="00E80E1E"/>
    <w:rsid w:val="00E82135"/>
    <w:rsid w:val="00E82862"/>
    <w:rsid w:val="00E82CA0"/>
    <w:rsid w:val="00E82E17"/>
    <w:rsid w:val="00E82E58"/>
    <w:rsid w:val="00E8327F"/>
    <w:rsid w:val="00E83FFC"/>
    <w:rsid w:val="00E84AD4"/>
    <w:rsid w:val="00E8534F"/>
    <w:rsid w:val="00E854EA"/>
    <w:rsid w:val="00E85EC9"/>
    <w:rsid w:val="00E86086"/>
    <w:rsid w:val="00E86BAE"/>
    <w:rsid w:val="00E876A3"/>
    <w:rsid w:val="00E87DC5"/>
    <w:rsid w:val="00E903A5"/>
    <w:rsid w:val="00E90A19"/>
    <w:rsid w:val="00E91460"/>
    <w:rsid w:val="00E915F1"/>
    <w:rsid w:val="00E91C42"/>
    <w:rsid w:val="00E921AF"/>
    <w:rsid w:val="00E92341"/>
    <w:rsid w:val="00E93635"/>
    <w:rsid w:val="00E94464"/>
    <w:rsid w:val="00E94F06"/>
    <w:rsid w:val="00E95243"/>
    <w:rsid w:val="00E956CB"/>
    <w:rsid w:val="00E95CE9"/>
    <w:rsid w:val="00E9601E"/>
    <w:rsid w:val="00E960B8"/>
    <w:rsid w:val="00E96AEE"/>
    <w:rsid w:val="00E96C58"/>
    <w:rsid w:val="00E96D1C"/>
    <w:rsid w:val="00E971D5"/>
    <w:rsid w:val="00E977CB"/>
    <w:rsid w:val="00E977CE"/>
    <w:rsid w:val="00E97990"/>
    <w:rsid w:val="00E97A15"/>
    <w:rsid w:val="00E97D2F"/>
    <w:rsid w:val="00E97EA7"/>
    <w:rsid w:val="00E97FB1"/>
    <w:rsid w:val="00EA0E50"/>
    <w:rsid w:val="00EA11F9"/>
    <w:rsid w:val="00EA1514"/>
    <w:rsid w:val="00EA16E1"/>
    <w:rsid w:val="00EA1767"/>
    <w:rsid w:val="00EA1A86"/>
    <w:rsid w:val="00EA1DE6"/>
    <w:rsid w:val="00EA1F8E"/>
    <w:rsid w:val="00EA2360"/>
    <w:rsid w:val="00EA272B"/>
    <w:rsid w:val="00EA2C2C"/>
    <w:rsid w:val="00EA2F5D"/>
    <w:rsid w:val="00EA301E"/>
    <w:rsid w:val="00EA3030"/>
    <w:rsid w:val="00EA3A9E"/>
    <w:rsid w:val="00EA3BA1"/>
    <w:rsid w:val="00EA4136"/>
    <w:rsid w:val="00EA449C"/>
    <w:rsid w:val="00EA4F1E"/>
    <w:rsid w:val="00EA4F7D"/>
    <w:rsid w:val="00EA5561"/>
    <w:rsid w:val="00EA5F9C"/>
    <w:rsid w:val="00EA60F7"/>
    <w:rsid w:val="00EA633B"/>
    <w:rsid w:val="00EA637E"/>
    <w:rsid w:val="00EA642E"/>
    <w:rsid w:val="00EA659C"/>
    <w:rsid w:val="00EA6C76"/>
    <w:rsid w:val="00EA7206"/>
    <w:rsid w:val="00EA7872"/>
    <w:rsid w:val="00EA7BBD"/>
    <w:rsid w:val="00EB0A68"/>
    <w:rsid w:val="00EB0E6A"/>
    <w:rsid w:val="00EB0FE6"/>
    <w:rsid w:val="00EB16EB"/>
    <w:rsid w:val="00EB182C"/>
    <w:rsid w:val="00EB19D9"/>
    <w:rsid w:val="00EB1A8F"/>
    <w:rsid w:val="00EB2287"/>
    <w:rsid w:val="00EB24FC"/>
    <w:rsid w:val="00EB269D"/>
    <w:rsid w:val="00EB30E8"/>
    <w:rsid w:val="00EB344E"/>
    <w:rsid w:val="00EB4196"/>
    <w:rsid w:val="00EB45D7"/>
    <w:rsid w:val="00EB47B3"/>
    <w:rsid w:val="00EB4926"/>
    <w:rsid w:val="00EB4B58"/>
    <w:rsid w:val="00EB4E5F"/>
    <w:rsid w:val="00EB5197"/>
    <w:rsid w:val="00EB55EB"/>
    <w:rsid w:val="00EB5629"/>
    <w:rsid w:val="00EB5734"/>
    <w:rsid w:val="00EB579B"/>
    <w:rsid w:val="00EB5CB5"/>
    <w:rsid w:val="00EB5F1C"/>
    <w:rsid w:val="00EB75EB"/>
    <w:rsid w:val="00EB7605"/>
    <w:rsid w:val="00EB76CB"/>
    <w:rsid w:val="00EC068F"/>
    <w:rsid w:val="00EC089D"/>
    <w:rsid w:val="00EC0DD3"/>
    <w:rsid w:val="00EC101A"/>
    <w:rsid w:val="00EC1394"/>
    <w:rsid w:val="00EC20D7"/>
    <w:rsid w:val="00EC226A"/>
    <w:rsid w:val="00EC229B"/>
    <w:rsid w:val="00EC24AA"/>
    <w:rsid w:val="00EC28DD"/>
    <w:rsid w:val="00EC2EE6"/>
    <w:rsid w:val="00EC3012"/>
    <w:rsid w:val="00EC3713"/>
    <w:rsid w:val="00EC37A0"/>
    <w:rsid w:val="00EC37E8"/>
    <w:rsid w:val="00EC384B"/>
    <w:rsid w:val="00EC3FA5"/>
    <w:rsid w:val="00EC5225"/>
    <w:rsid w:val="00EC522D"/>
    <w:rsid w:val="00EC552D"/>
    <w:rsid w:val="00EC57F0"/>
    <w:rsid w:val="00EC5846"/>
    <w:rsid w:val="00EC5B93"/>
    <w:rsid w:val="00EC628F"/>
    <w:rsid w:val="00EC774B"/>
    <w:rsid w:val="00EC7D66"/>
    <w:rsid w:val="00ED10A7"/>
    <w:rsid w:val="00ED13EB"/>
    <w:rsid w:val="00ED1462"/>
    <w:rsid w:val="00ED14A1"/>
    <w:rsid w:val="00ED1675"/>
    <w:rsid w:val="00ED17FA"/>
    <w:rsid w:val="00ED1856"/>
    <w:rsid w:val="00ED1BF4"/>
    <w:rsid w:val="00ED24B6"/>
    <w:rsid w:val="00ED25D2"/>
    <w:rsid w:val="00ED28C4"/>
    <w:rsid w:val="00ED2CB1"/>
    <w:rsid w:val="00ED35C0"/>
    <w:rsid w:val="00ED3F38"/>
    <w:rsid w:val="00ED4089"/>
    <w:rsid w:val="00ED4124"/>
    <w:rsid w:val="00ED4432"/>
    <w:rsid w:val="00ED454F"/>
    <w:rsid w:val="00ED4699"/>
    <w:rsid w:val="00ED4CBA"/>
    <w:rsid w:val="00ED5030"/>
    <w:rsid w:val="00ED547D"/>
    <w:rsid w:val="00ED596C"/>
    <w:rsid w:val="00ED5ACF"/>
    <w:rsid w:val="00ED61FC"/>
    <w:rsid w:val="00ED67C1"/>
    <w:rsid w:val="00EE0174"/>
    <w:rsid w:val="00EE01D1"/>
    <w:rsid w:val="00EE02AE"/>
    <w:rsid w:val="00EE083C"/>
    <w:rsid w:val="00EE0CBD"/>
    <w:rsid w:val="00EE0D6A"/>
    <w:rsid w:val="00EE0F3C"/>
    <w:rsid w:val="00EE1093"/>
    <w:rsid w:val="00EE12E9"/>
    <w:rsid w:val="00EE13A7"/>
    <w:rsid w:val="00EE2B55"/>
    <w:rsid w:val="00EE3341"/>
    <w:rsid w:val="00EE3445"/>
    <w:rsid w:val="00EE4436"/>
    <w:rsid w:val="00EE4BBE"/>
    <w:rsid w:val="00EE4EFE"/>
    <w:rsid w:val="00EE546C"/>
    <w:rsid w:val="00EE563D"/>
    <w:rsid w:val="00EE5DFC"/>
    <w:rsid w:val="00EE60E7"/>
    <w:rsid w:val="00EE6940"/>
    <w:rsid w:val="00EE6A20"/>
    <w:rsid w:val="00EE6B33"/>
    <w:rsid w:val="00EE70B5"/>
    <w:rsid w:val="00EE7503"/>
    <w:rsid w:val="00EE7636"/>
    <w:rsid w:val="00EE77EF"/>
    <w:rsid w:val="00EE7948"/>
    <w:rsid w:val="00EE7BB3"/>
    <w:rsid w:val="00EE7F14"/>
    <w:rsid w:val="00EF00A8"/>
    <w:rsid w:val="00EF02E6"/>
    <w:rsid w:val="00EF045D"/>
    <w:rsid w:val="00EF0712"/>
    <w:rsid w:val="00EF0908"/>
    <w:rsid w:val="00EF0983"/>
    <w:rsid w:val="00EF0C8C"/>
    <w:rsid w:val="00EF0E21"/>
    <w:rsid w:val="00EF138D"/>
    <w:rsid w:val="00EF1821"/>
    <w:rsid w:val="00EF1D2F"/>
    <w:rsid w:val="00EF20C3"/>
    <w:rsid w:val="00EF231B"/>
    <w:rsid w:val="00EF2385"/>
    <w:rsid w:val="00EF2449"/>
    <w:rsid w:val="00EF2467"/>
    <w:rsid w:val="00EF256C"/>
    <w:rsid w:val="00EF2699"/>
    <w:rsid w:val="00EF313E"/>
    <w:rsid w:val="00EF3393"/>
    <w:rsid w:val="00EF3C6A"/>
    <w:rsid w:val="00EF3F1A"/>
    <w:rsid w:val="00EF463E"/>
    <w:rsid w:val="00EF4780"/>
    <w:rsid w:val="00EF541D"/>
    <w:rsid w:val="00EF571F"/>
    <w:rsid w:val="00EF579C"/>
    <w:rsid w:val="00EF57BB"/>
    <w:rsid w:val="00EF585C"/>
    <w:rsid w:val="00EF5B95"/>
    <w:rsid w:val="00EF5C0B"/>
    <w:rsid w:val="00EF5F9C"/>
    <w:rsid w:val="00EF6014"/>
    <w:rsid w:val="00EF60B7"/>
    <w:rsid w:val="00EF613D"/>
    <w:rsid w:val="00EF77CE"/>
    <w:rsid w:val="00EF7846"/>
    <w:rsid w:val="00F00232"/>
    <w:rsid w:val="00F00922"/>
    <w:rsid w:val="00F0102C"/>
    <w:rsid w:val="00F0106B"/>
    <w:rsid w:val="00F0137B"/>
    <w:rsid w:val="00F0139C"/>
    <w:rsid w:val="00F01447"/>
    <w:rsid w:val="00F020E1"/>
    <w:rsid w:val="00F0221D"/>
    <w:rsid w:val="00F02DE5"/>
    <w:rsid w:val="00F0324F"/>
    <w:rsid w:val="00F03AA2"/>
    <w:rsid w:val="00F03E44"/>
    <w:rsid w:val="00F043F9"/>
    <w:rsid w:val="00F048D4"/>
    <w:rsid w:val="00F04B55"/>
    <w:rsid w:val="00F04E02"/>
    <w:rsid w:val="00F05558"/>
    <w:rsid w:val="00F05782"/>
    <w:rsid w:val="00F0595E"/>
    <w:rsid w:val="00F05A7B"/>
    <w:rsid w:val="00F05C55"/>
    <w:rsid w:val="00F06454"/>
    <w:rsid w:val="00F06CB2"/>
    <w:rsid w:val="00F06E72"/>
    <w:rsid w:val="00F0797B"/>
    <w:rsid w:val="00F07C8A"/>
    <w:rsid w:val="00F07D8B"/>
    <w:rsid w:val="00F104D0"/>
    <w:rsid w:val="00F1074B"/>
    <w:rsid w:val="00F10840"/>
    <w:rsid w:val="00F116E1"/>
    <w:rsid w:val="00F11E4F"/>
    <w:rsid w:val="00F11EF5"/>
    <w:rsid w:val="00F1272B"/>
    <w:rsid w:val="00F12F8A"/>
    <w:rsid w:val="00F13033"/>
    <w:rsid w:val="00F13232"/>
    <w:rsid w:val="00F132E7"/>
    <w:rsid w:val="00F135D7"/>
    <w:rsid w:val="00F135EC"/>
    <w:rsid w:val="00F13A85"/>
    <w:rsid w:val="00F13C6A"/>
    <w:rsid w:val="00F13C93"/>
    <w:rsid w:val="00F14212"/>
    <w:rsid w:val="00F14396"/>
    <w:rsid w:val="00F14A1F"/>
    <w:rsid w:val="00F14D95"/>
    <w:rsid w:val="00F1507B"/>
    <w:rsid w:val="00F15D2C"/>
    <w:rsid w:val="00F16582"/>
    <w:rsid w:val="00F1666B"/>
    <w:rsid w:val="00F16738"/>
    <w:rsid w:val="00F16AAC"/>
    <w:rsid w:val="00F16B9D"/>
    <w:rsid w:val="00F16CE1"/>
    <w:rsid w:val="00F17125"/>
    <w:rsid w:val="00F179EF"/>
    <w:rsid w:val="00F17E02"/>
    <w:rsid w:val="00F17E22"/>
    <w:rsid w:val="00F20017"/>
    <w:rsid w:val="00F20776"/>
    <w:rsid w:val="00F21051"/>
    <w:rsid w:val="00F2106E"/>
    <w:rsid w:val="00F21196"/>
    <w:rsid w:val="00F21514"/>
    <w:rsid w:val="00F21AE7"/>
    <w:rsid w:val="00F21B8E"/>
    <w:rsid w:val="00F21CAF"/>
    <w:rsid w:val="00F223BD"/>
    <w:rsid w:val="00F223EA"/>
    <w:rsid w:val="00F22EE2"/>
    <w:rsid w:val="00F232DA"/>
    <w:rsid w:val="00F23613"/>
    <w:rsid w:val="00F23F88"/>
    <w:rsid w:val="00F24874"/>
    <w:rsid w:val="00F24980"/>
    <w:rsid w:val="00F24B20"/>
    <w:rsid w:val="00F24BEE"/>
    <w:rsid w:val="00F24EF6"/>
    <w:rsid w:val="00F24F3D"/>
    <w:rsid w:val="00F25C36"/>
    <w:rsid w:val="00F260E6"/>
    <w:rsid w:val="00F26145"/>
    <w:rsid w:val="00F26345"/>
    <w:rsid w:val="00F2634C"/>
    <w:rsid w:val="00F26D6D"/>
    <w:rsid w:val="00F271AF"/>
    <w:rsid w:val="00F30616"/>
    <w:rsid w:val="00F308EE"/>
    <w:rsid w:val="00F310D5"/>
    <w:rsid w:val="00F319F9"/>
    <w:rsid w:val="00F31E5B"/>
    <w:rsid w:val="00F32848"/>
    <w:rsid w:val="00F32AF9"/>
    <w:rsid w:val="00F32C02"/>
    <w:rsid w:val="00F33229"/>
    <w:rsid w:val="00F3355E"/>
    <w:rsid w:val="00F33B96"/>
    <w:rsid w:val="00F345E4"/>
    <w:rsid w:val="00F346B1"/>
    <w:rsid w:val="00F3484E"/>
    <w:rsid w:val="00F34E84"/>
    <w:rsid w:val="00F34FB3"/>
    <w:rsid w:val="00F35B84"/>
    <w:rsid w:val="00F36323"/>
    <w:rsid w:val="00F36B02"/>
    <w:rsid w:val="00F36F16"/>
    <w:rsid w:val="00F37261"/>
    <w:rsid w:val="00F372B3"/>
    <w:rsid w:val="00F37507"/>
    <w:rsid w:val="00F37996"/>
    <w:rsid w:val="00F37DBE"/>
    <w:rsid w:val="00F40042"/>
    <w:rsid w:val="00F40EA2"/>
    <w:rsid w:val="00F415F2"/>
    <w:rsid w:val="00F42037"/>
    <w:rsid w:val="00F42047"/>
    <w:rsid w:val="00F423F6"/>
    <w:rsid w:val="00F42415"/>
    <w:rsid w:val="00F424D3"/>
    <w:rsid w:val="00F4284C"/>
    <w:rsid w:val="00F438FD"/>
    <w:rsid w:val="00F443B0"/>
    <w:rsid w:val="00F444E7"/>
    <w:rsid w:val="00F447EA"/>
    <w:rsid w:val="00F44943"/>
    <w:rsid w:val="00F44BCB"/>
    <w:rsid w:val="00F453DF"/>
    <w:rsid w:val="00F4660D"/>
    <w:rsid w:val="00F46651"/>
    <w:rsid w:val="00F46C07"/>
    <w:rsid w:val="00F4737E"/>
    <w:rsid w:val="00F47B08"/>
    <w:rsid w:val="00F47D5F"/>
    <w:rsid w:val="00F47E5F"/>
    <w:rsid w:val="00F50623"/>
    <w:rsid w:val="00F511EE"/>
    <w:rsid w:val="00F514E5"/>
    <w:rsid w:val="00F51D28"/>
    <w:rsid w:val="00F51E4D"/>
    <w:rsid w:val="00F533F9"/>
    <w:rsid w:val="00F537A5"/>
    <w:rsid w:val="00F539AC"/>
    <w:rsid w:val="00F53CB1"/>
    <w:rsid w:val="00F53D94"/>
    <w:rsid w:val="00F5420D"/>
    <w:rsid w:val="00F54768"/>
    <w:rsid w:val="00F54ADC"/>
    <w:rsid w:val="00F5508E"/>
    <w:rsid w:val="00F553E8"/>
    <w:rsid w:val="00F55AA3"/>
    <w:rsid w:val="00F55DFC"/>
    <w:rsid w:val="00F56655"/>
    <w:rsid w:val="00F566F8"/>
    <w:rsid w:val="00F568D0"/>
    <w:rsid w:val="00F56C88"/>
    <w:rsid w:val="00F573E2"/>
    <w:rsid w:val="00F574E3"/>
    <w:rsid w:val="00F57BDA"/>
    <w:rsid w:val="00F57F43"/>
    <w:rsid w:val="00F60058"/>
    <w:rsid w:val="00F6066A"/>
    <w:rsid w:val="00F60688"/>
    <w:rsid w:val="00F60D88"/>
    <w:rsid w:val="00F60DC0"/>
    <w:rsid w:val="00F61248"/>
    <w:rsid w:val="00F61281"/>
    <w:rsid w:val="00F613C3"/>
    <w:rsid w:val="00F626F5"/>
    <w:rsid w:val="00F629DE"/>
    <w:rsid w:val="00F636C8"/>
    <w:rsid w:val="00F638B4"/>
    <w:rsid w:val="00F6394E"/>
    <w:rsid w:val="00F63FD8"/>
    <w:rsid w:val="00F6428D"/>
    <w:rsid w:val="00F643C2"/>
    <w:rsid w:val="00F64A0B"/>
    <w:rsid w:val="00F6557B"/>
    <w:rsid w:val="00F665BC"/>
    <w:rsid w:val="00F666B5"/>
    <w:rsid w:val="00F66DB4"/>
    <w:rsid w:val="00F67275"/>
    <w:rsid w:val="00F672E6"/>
    <w:rsid w:val="00F678C8"/>
    <w:rsid w:val="00F67EF9"/>
    <w:rsid w:val="00F703D5"/>
    <w:rsid w:val="00F708FA"/>
    <w:rsid w:val="00F70BAD"/>
    <w:rsid w:val="00F713E2"/>
    <w:rsid w:val="00F7187B"/>
    <w:rsid w:val="00F718A4"/>
    <w:rsid w:val="00F71B5C"/>
    <w:rsid w:val="00F71F46"/>
    <w:rsid w:val="00F72698"/>
    <w:rsid w:val="00F728AA"/>
    <w:rsid w:val="00F72AD3"/>
    <w:rsid w:val="00F72C8A"/>
    <w:rsid w:val="00F72CA8"/>
    <w:rsid w:val="00F72D90"/>
    <w:rsid w:val="00F73DC7"/>
    <w:rsid w:val="00F740E5"/>
    <w:rsid w:val="00F741FA"/>
    <w:rsid w:val="00F7430B"/>
    <w:rsid w:val="00F745D9"/>
    <w:rsid w:val="00F750B1"/>
    <w:rsid w:val="00F7523E"/>
    <w:rsid w:val="00F759D7"/>
    <w:rsid w:val="00F7609A"/>
    <w:rsid w:val="00F76924"/>
    <w:rsid w:val="00F76B64"/>
    <w:rsid w:val="00F76F4C"/>
    <w:rsid w:val="00F76FD6"/>
    <w:rsid w:val="00F77293"/>
    <w:rsid w:val="00F774F4"/>
    <w:rsid w:val="00F77C33"/>
    <w:rsid w:val="00F77D71"/>
    <w:rsid w:val="00F808F0"/>
    <w:rsid w:val="00F80927"/>
    <w:rsid w:val="00F80A1E"/>
    <w:rsid w:val="00F81113"/>
    <w:rsid w:val="00F819E1"/>
    <w:rsid w:val="00F822A0"/>
    <w:rsid w:val="00F827DD"/>
    <w:rsid w:val="00F82DB5"/>
    <w:rsid w:val="00F835DF"/>
    <w:rsid w:val="00F836F3"/>
    <w:rsid w:val="00F83789"/>
    <w:rsid w:val="00F83A8B"/>
    <w:rsid w:val="00F83B2E"/>
    <w:rsid w:val="00F83E5A"/>
    <w:rsid w:val="00F84099"/>
    <w:rsid w:val="00F8412E"/>
    <w:rsid w:val="00F8415C"/>
    <w:rsid w:val="00F843F7"/>
    <w:rsid w:val="00F8476D"/>
    <w:rsid w:val="00F84E28"/>
    <w:rsid w:val="00F85501"/>
    <w:rsid w:val="00F85619"/>
    <w:rsid w:val="00F856DE"/>
    <w:rsid w:val="00F85851"/>
    <w:rsid w:val="00F85DC7"/>
    <w:rsid w:val="00F8670A"/>
    <w:rsid w:val="00F86769"/>
    <w:rsid w:val="00F8676D"/>
    <w:rsid w:val="00F86C16"/>
    <w:rsid w:val="00F86DAB"/>
    <w:rsid w:val="00F8798B"/>
    <w:rsid w:val="00F87B34"/>
    <w:rsid w:val="00F9034D"/>
    <w:rsid w:val="00F9049D"/>
    <w:rsid w:val="00F90624"/>
    <w:rsid w:val="00F907AF"/>
    <w:rsid w:val="00F90CB5"/>
    <w:rsid w:val="00F90E09"/>
    <w:rsid w:val="00F91714"/>
    <w:rsid w:val="00F91CBC"/>
    <w:rsid w:val="00F91E36"/>
    <w:rsid w:val="00F922ED"/>
    <w:rsid w:val="00F925F3"/>
    <w:rsid w:val="00F926EB"/>
    <w:rsid w:val="00F93A0A"/>
    <w:rsid w:val="00F93FF7"/>
    <w:rsid w:val="00F94A71"/>
    <w:rsid w:val="00F94CCA"/>
    <w:rsid w:val="00F9535C"/>
    <w:rsid w:val="00F95780"/>
    <w:rsid w:val="00F95EFB"/>
    <w:rsid w:val="00F9624E"/>
    <w:rsid w:val="00F96923"/>
    <w:rsid w:val="00F96CB0"/>
    <w:rsid w:val="00F96E26"/>
    <w:rsid w:val="00F970DB"/>
    <w:rsid w:val="00F9766C"/>
    <w:rsid w:val="00F97DB7"/>
    <w:rsid w:val="00F97F2E"/>
    <w:rsid w:val="00FA008C"/>
    <w:rsid w:val="00FA0431"/>
    <w:rsid w:val="00FA0577"/>
    <w:rsid w:val="00FA086C"/>
    <w:rsid w:val="00FA0870"/>
    <w:rsid w:val="00FA0FFB"/>
    <w:rsid w:val="00FA139E"/>
    <w:rsid w:val="00FA1441"/>
    <w:rsid w:val="00FA203F"/>
    <w:rsid w:val="00FA2EDA"/>
    <w:rsid w:val="00FA3431"/>
    <w:rsid w:val="00FA37D8"/>
    <w:rsid w:val="00FA38A1"/>
    <w:rsid w:val="00FA3C01"/>
    <w:rsid w:val="00FA3F41"/>
    <w:rsid w:val="00FA407B"/>
    <w:rsid w:val="00FA4A3B"/>
    <w:rsid w:val="00FA53D9"/>
    <w:rsid w:val="00FA60DC"/>
    <w:rsid w:val="00FA62C1"/>
    <w:rsid w:val="00FA6B17"/>
    <w:rsid w:val="00FA7860"/>
    <w:rsid w:val="00FB0060"/>
    <w:rsid w:val="00FB012F"/>
    <w:rsid w:val="00FB08D6"/>
    <w:rsid w:val="00FB0A08"/>
    <w:rsid w:val="00FB0AD3"/>
    <w:rsid w:val="00FB0D58"/>
    <w:rsid w:val="00FB185F"/>
    <w:rsid w:val="00FB21EE"/>
    <w:rsid w:val="00FB2506"/>
    <w:rsid w:val="00FB25F8"/>
    <w:rsid w:val="00FB2B87"/>
    <w:rsid w:val="00FB2E0F"/>
    <w:rsid w:val="00FB306B"/>
    <w:rsid w:val="00FB312F"/>
    <w:rsid w:val="00FB32DD"/>
    <w:rsid w:val="00FB3784"/>
    <w:rsid w:val="00FB487A"/>
    <w:rsid w:val="00FB4ED0"/>
    <w:rsid w:val="00FB50C2"/>
    <w:rsid w:val="00FB529D"/>
    <w:rsid w:val="00FB56C5"/>
    <w:rsid w:val="00FB57EF"/>
    <w:rsid w:val="00FB588F"/>
    <w:rsid w:val="00FB59A7"/>
    <w:rsid w:val="00FB59E5"/>
    <w:rsid w:val="00FB5B80"/>
    <w:rsid w:val="00FB5BBC"/>
    <w:rsid w:val="00FB5DE3"/>
    <w:rsid w:val="00FB5FB0"/>
    <w:rsid w:val="00FB6F0E"/>
    <w:rsid w:val="00FC054B"/>
    <w:rsid w:val="00FC06BF"/>
    <w:rsid w:val="00FC0AE4"/>
    <w:rsid w:val="00FC0E21"/>
    <w:rsid w:val="00FC1694"/>
    <w:rsid w:val="00FC1CF2"/>
    <w:rsid w:val="00FC20A5"/>
    <w:rsid w:val="00FC2124"/>
    <w:rsid w:val="00FC2576"/>
    <w:rsid w:val="00FC2A8A"/>
    <w:rsid w:val="00FC2BF1"/>
    <w:rsid w:val="00FC2E45"/>
    <w:rsid w:val="00FC351E"/>
    <w:rsid w:val="00FC35DE"/>
    <w:rsid w:val="00FC3C6E"/>
    <w:rsid w:val="00FC4398"/>
    <w:rsid w:val="00FC4B62"/>
    <w:rsid w:val="00FC4BA2"/>
    <w:rsid w:val="00FC4CBA"/>
    <w:rsid w:val="00FC500F"/>
    <w:rsid w:val="00FC503B"/>
    <w:rsid w:val="00FC5301"/>
    <w:rsid w:val="00FC588B"/>
    <w:rsid w:val="00FC5B26"/>
    <w:rsid w:val="00FC5F5C"/>
    <w:rsid w:val="00FC6028"/>
    <w:rsid w:val="00FC6280"/>
    <w:rsid w:val="00FC635D"/>
    <w:rsid w:val="00FC66B8"/>
    <w:rsid w:val="00FC6947"/>
    <w:rsid w:val="00FC6AEF"/>
    <w:rsid w:val="00FC6E6C"/>
    <w:rsid w:val="00FC6E74"/>
    <w:rsid w:val="00FC6EBD"/>
    <w:rsid w:val="00FC70C5"/>
    <w:rsid w:val="00FC7186"/>
    <w:rsid w:val="00FC742F"/>
    <w:rsid w:val="00FC7B7B"/>
    <w:rsid w:val="00FC7C89"/>
    <w:rsid w:val="00FC7F2B"/>
    <w:rsid w:val="00FD0F61"/>
    <w:rsid w:val="00FD1150"/>
    <w:rsid w:val="00FD1280"/>
    <w:rsid w:val="00FD143C"/>
    <w:rsid w:val="00FD1946"/>
    <w:rsid w:val="00FD21EE"/>
    <w:rsid w:val="00FD2798"/>
    <w:rsid w:val="00FD2965"/>
    <w:rsid w:val="00FD2A64"/>
    <w:rsid w:val="00FD2CC3"/>
    <w:rsid w:val="00FD2E5B"/>
    <w:rsid w:val="00FD3D61"/>
    <w:rsid w:val="00FD3E07"/>
    <w:rsid w:val="00FD436D"/>
    <w:rsid w:val="00FD4781"/>
    <w:rsid w:val="00FD491D"/>
    <w:rsid w:val="00FD49DB"/>
    <w:rsid w:val="00FD5062"/>
    <w:rsid w:val="00FD5877"/>
    <w:rsid w:val="00FD6C06"/>
    <w:rsid w:val="00FD6D2A"/>
    <w:rsid w:val="00FD71B4"/>
    <w:rsid w:val="00FD764D"/>
    <w:rsid w:val="00FD7B35"/>
    <w:rsid w:val="00FD7C6C"/>
    <w:rsid w:val="00FD7CDC"/>
    <w:rsid w:val="00FD7F20"/>
    <w:rsid w:val="00FE01A6"/>
    <w:rsid w:val="00FE02F8"/>
    <w:rsid w:val="00FE0BA6"/>
    <w:rsid w:val="00FE1445"/>
    <w:rsid w:val="00FE153E"/>
    <w:rsid w:val="00FE1548"/>
    <w:rsid w:val="00FE18EF"/>
    <w:rsid w:val="00FE1BD4"/>
    <w:rsid w:val="00FE1CE2"/>
    <w:rsid w:val="00FE1DFC"/>
    <w:rsid w:val="00FE235B"/>
    <w:rsid w:val="00FE2738"/>
    <w:rsid w:val="00FE27FE"/>
    <w:rsid w:val="00FE2852"/>
    <w:rsid w:val="00FE293B"/>
    <w:rsid w:val="00FE2B0E"/>
    <w:rsid w:val="00FE2F5F"/>
    <w:rsid w:val="00FE30C9"/>
    <w:rsid w:val="00FE393B"/>
    <w:rsid w:val="00FE3C08"/>
    <w:rsid w:val="00FE3C80"/>
    <w:rsid w:val="00FE3FA8"/>
    <w:rsid w:val="00FE4608"/>
    <w:rsid w:val="00FE4826"/>
    <w:rsid w:val="00FE5DD2"/>
    <w:rsid w:val="00FE66DF"/>
    <w:rsid w:val="00FE6845"/>
    <w:rsid w:val="00FE6AD1"/>
    <w:rsid w:val="00FE702D"/>
    <w:rsid w:val="00FE78FD"/>
    <w:rsid w:val="00FE7BA2"/>
    <w:rsid w:val="00FF0586"/>
    <w:rsid w:val="00FF09BD"/>
    <w:rsid w:val="00FF1744"/>
    <w:rsid w:val="00FF2265"/>
    <w:rsid w:val="00FF234B"/>
    <w:rsid w:val="00FF2D7A"/>
    <w:rsid w:val="00FF31E9"/>
    <w:rsid w:val="00FF3269"/>
    <w:rsid w:val="00FF3496"/>
    <w:rsid w:val="00FF3CA1"/>
    <w:rsid w:val="00FF4177"/>
    <w:rsid w:val="00FF4675"/>
    <w:rsid w:val="00FF48B8"/>
    <w:rsid w:val="00FF48C8"/>
    <w:rsid w:val="00FF5F5C"/>
    <w:rsid w:val="00FF6C5F"/>
    <w:rsid w:val="00FF764B"/>
    <w:rsid w:val="00FF7932"/>
    <w:rsid w:val="010E5F29"/>
    <w:rsid w:val="02FD0751"/>
    <w:rsid w:val="03AFBD0F"/>
    <w:rsid w:val="0415A86A"/>
    <w:rsid w:val="0486FACB"/>
    <w:rsid w:val="061F3F57"/>
    <w:rsid w:val="062C1978"/>
    <w:rsid w:val="07341637"/>
    <w:rsid w:val="088796A5"/>
    <w:rsid w:val="089470C6"/>
    <w:rsid w:val="08F95845"/>
    <w:rsid w:val="09232401"/>
    <w:rsid w:val="095316DB"/>
    <w:rsid w:val="0980780D"/>
    <w:rsid w:val="09AA1C87"/>
    <w:rsid w:val="09CD3540"/>
    <w:rsid w:val="0A778F32"/>
    <w:rsid w:val="0AE75E5D"/>
    <w:rsid w:val="0B11CC29"/>
    <w:rsid w:val="0B79A900"/>
    <w:rsid w:val="0C5CBD01"/>
    <w:rsid w:val="0CBB987F"/>
    <w:rsid w:val="0D062C30"/>
    <w:rsid w:val="0DA2C13E"/>
    <w:rsid w:val="0E3CF3C6"/>
    <w:rsid w:val="0E56B746"/>
    <w:rsid w:val="0E7605C6"/>
    <w:rsid w:val="0E8DF720"/>
    <w:rsid w:val="0F646549"/>
    <w:rsid w:val="0F796FF9"/>
    <w:rsid w:val="0F845C74"/>
    <w:rsid w:val="0F96242B"/>
    <w:rsid w:val="0FE0451E"/>
    <w:rsid w:val="100DA842"/>
    <w:rsid w:val="10126307"/>
    <w:rsid w:val="12860B77"/>
    <w:rsid w:val="134F9E07"/>
    <w:rsid w:val="13BE2DE1"/>
    <w:rsid w:val="1469954E"/>
    <w:rsid w:val="147CD3F6"/>
    <w:rsid w:val="14F98211"/>
    <w:rsid w:val="14FC7769"/>
    <w:rsid w:val="153EABD1"/>
    <w:rsid w:val="15AD08DA"/>
    <w:rsid w:val="15F48F7F"/>
    <w:rsid w:val="17B3AA6F"/>
    <w:rsid w:val="17BEC9BB"/>
    <w:rsid w:val="181067FA"/>
    <w:rsid w:val="1923DE14"/>
    <w:rsid w:val="19F55E2A"/>
    <w:rsid w:val="1A2F35CD"/>
    <w:rsid w:val="1B027A55"/>
    <w:rsid w:val="1B0D99A1"/>
    <w:rsid w:val="1CC1C816"/>
    <w:rsid w:val="1D9834C7"/>
    <w:rsid w:val="1E84DB0E"/>
    <w:rsid w:val="1EBE1F40"/>
    <w:rsid w:val="1F5CA1F4"/>
    <w:rsid w:val="1F94BEC2"/>
    <w:rsid w:val="207AF190"/>
    <w:rsid w:val="20F11C47"/>
    <w:rsid w:val="218D758E"/>
    <w:rsid w:val="21F298D4"/>
    <w:rsid w:val="225A066C"/>
    <w:rsid w:val="22667AEB"/>
    <w:rsid w:val="226F0A81"/>
    <w:rsid w:val="233A2515"/>
    <w:rsid w:val="233CE79C"/>
    <w:rsid w:val="23672297"/>
    <w:rsid w:val="25832DE3"/>
    <w:rsid w:val="25A8D652"/>
    <w:rsid w:val="260A593A"/>
    <w:rsid w:val="262C9D12"/>
    <w:rsid w:val="264F1D58"/>
    <w:rsid w:val="266931C4"/>
    <w:rsid w:val="28EFEA24"/>
    <w:rsid w:val="29595BF1"/>
    <w:rsid w:val="299B211A"/>
    <w:rsid w:val="29FFD5C8"/>
    <w:rsid w:val="2A69A045"/>
    <w:rsid w:val="2AD60FA8"/>
    <w:rsid w:val="2B033FFB"/>
    <w:rsid w:val="2B3332D5"/>
    <w:rsid w:val="2B7E9DF6"/>
    <w:rsid w:val="2BAF3EE0"/>
    <w:rsid w:val="2BD9ACAC"/>
    <w:rsid w:val="2C5D409B"/>
    <w:rsid w:val="2C753A08"/>
    <w:rsid w:val="2CF21AF4"/>
    <w:rsid w:val="2D33AD4C"/>
    <w:rsid w:val="2E0A893C"/>
    <w:rsid w:val="2EA58FAC"/>
    <w:rsid w:val="2F358984"/>
    <w:rsid w:val="31FA9E5D"/>
    <w:rsid w:val="320D12BC"/>
    <w:rsid w:val="32CB8600"/>
    <w:rsid w:val="32E60F23"/>
    <w:rsid w:val="32EE6BE8"/>
    <w:rsid w:val="33325B25"/>
    <w:rsid w:val="357BC995"/>
    <w:rsid w:val="359E7CAC"/>
    <w:rsid w:val="35B3B392"/>
    <w:rsid w:val="36A1B40E"/>
    <w:rsid w:val="370A2480"/>
    <w:rsid w:val="37550806"/>
    <w:rsid w:val="37CEE9FD"/>
    <w:rsid w:val="37D9BD56"/>
    <w:rsid w:val="37FBB4AE"/>
    <w:rsid w:val="384E8D70"/>
    <w:rsid w:val="38A3341C"/>
    <w:rsid w:val="3921FD3F"/>
    <w:rsid w:val="39B899F7"/>
    <w:rsid w:val="3B42B914"/>
    <w:rsid w:val="3DE00C35"/>
    <w:rsid w:val="3EFE325C"/>
    <w:rsid w:val="3FA4DF04"/>
    <w:rsid w:val="3FECDB79"/>
    <w:rsid w:val="3FF58124"/>
    <w:rsid w:val="400DE6A2"/>
    <w:rsid w:val="412F41BD"/>
    <w:rsid w:val="413A2E38"/>
    <w:rsid w:val="41C051DD"/>
    <w:rsid w:val="41D588C3"/>
    <w:rsid w:val="4232ABF0"/>
    <w:rsid w:val="4266FE85"/>
    <w:rsid w:val="427EC521"/>
    <w:rsid w:val="43FF4311"/>
    <w:rsid w:val="4424169F"/>
    <w:rsid w:val="44993619"/>
    <w:rsid w:val="44E5F844"/>
    <w:rsid w:val="44FA507F"/>
    <w:rsid w:val="45ABB6D1"/>
    <w:rsid w:val="45ECDFC0"/>
    <w:rsid w:val="46618E56"/>
    <w:rsid w:val="46AF2104"/>
    <w:rsid w:val="47B28B37"/>
    <w:rsid w:val="483651F7"/>
    <w:rsid w:val="489E2ECE"/>
    <w:rsid w:val="492EEB30"/>
    <w:rsid w:val="495C6F41"/>
    <w:rsid w:val="496E36F8"/>
    <w:rsid w:val="49CE9683"/>
    <w:rsid w:val="49DE332B"/>
    <w:rsid w:val="4A3DC490"/>
    <w:rsid w:val="4A48D18E"/>
    <w:rsid w:val="4B89DCA2"/>
    <w:rsid w:val="4BE4A1EF"/>
    <w:rsid w:val="4C604953"/>
    <w:rsid w:val="4DD84245"/>
    <w:rsid w:val="4E8548DC"/>
    <w:rsid w:val="4F08DCCB"/>
    <w:rsid w:val="4F11285B"/>
    <w:rsid w:val="4F62D7CF"/>
    <w:rsid w:val="500C142D"/>
    <w:rsid w:val="51A19632"/>
    <w:rsid w:val="51E21BDA"/>
    <w:rsid w:val="524DC7E8"/>
    <w:rsid w:val="52E95544"/>
    <w:rsid w:val="535BEBC5"/>
    <w:rsid w:val="540CB007"/>
    <w:rsid w:val="54DDB147"/>
    <w:rsid w:val="54FAE354"/>
    <w:rsid w:val="554CB464"/>
    <w:rsid w:val="5638252A"/>
    <w:rsid w:val="57053802"/>
    <w:rsid w:val="57558108"/>
    <w:rsid w:val="5888830B"/>
    <w:rsid w:val="5905C999"/>
    <w:rsid w:val="590FAE62"/>
    <w:rsid w:val="59172BAE"/>
    <w:rsid w:val="595F228D"/>
    <w:rsid w:val="59A6A932"/>
    <w:rsid w:val="59B91D91"/>
    <w:rsid w:val="59FE1480"/>
    <w:rsid w:val="5AAA1365"/>
    <w:rsid w:val="5AEC47CD"/>
    <w:rsid w:val="5B0C9DFF"/>
    <w:rsid w:val="5BAABB11"/>
    <w:rsid w:val="5CC35C2A"/>
    <w:rsid w:val="5CE5DC70"/>
    <w:rsid w:val="5D92D774"/>
    <w:rsid w:val="5E4594EF"/>
    <w:rsid w:val="5F962005"/>
    <w:rsid w:val="60C3C533"/>
    <w:rsid w:val="61676AAD"/>
    <w:rsid w:val="61A6A663"/>
    <w:rsid w:val="61F42CE8"/>
    <w:rsid w:val="62F3E568"/>
    <w:rsid w:val="62F6F50B"/>
    <w:rsid w:val="633EF180"/>
    <w:rsid w:val="6346D875"/>
    <w:rsid w:val="635E9F11"/>
    <w:rsid w:val="63890CDD"/>
    <w:rsid w:val="63E2002F"/>
    <w:rsid w:val="6431E399"/>
    <w:rsid w:val="651267E4"/>
    <w:rsid w:val="6535809D"/>
    <w:rsid w:val="6591751A"/>
    <w:rsid w:val="660BBA7D"/>
    <w:rsid w:val="6706FABC"/>
    <w:rsid w:val="68068D61"/>
    <w:rsid w:val="68FDCCD8"/>
    <w:rsid w:val="6913368F"/>
    <w:rsid w:val="694FD0B9"/>
    <w:rsid w:val="69A74C29"/>
    <w:rsid w:val="69DB59C9"/>
    <w:rsid w:val="6A0BB447"/>
    <w:rsid w:val="6A3B0EAE"/>
    <w:rsid w:val="6C2759F1"/>
    <w:rsid w:val="6C2FE090"/>
    <w:rsid w:val="6C8E2F16"/>
    <w:rsid w:val="6CA62883"/>
    <w:rsid w:val="6CF80BE1"/>
    <w:rsid w:val="6CFDC6A2"/>
    <w:rsid w:val="6D20AC8A"/>
    <w:rsid w:val="6DE90497"/>
    <w:rsid w:val="6E1BB9F8"/>
    <w:rsid w:val="6E9002D5"/>
    <w:rsid w:val="6F3C5234"/>
    <w:rsid w:val="6FE0F74D"/>
    <w:rsid w:val="6FEFD8FD"/>
    <w:rsid w:val="705713C4"/>
    <w:rsid w:val="712A584C"/>
    <w:rsid w:val="717A3BB6"/>
    <w:rsid w:val="719AC5B5"/>
    <w:rsid w:val="719CB25F"/>
    <w:rsid w:val="726FF6E7"/>
    <w:rsid w:val="72906058"/>
    <w:rsid w:val="72FECCA0"/>
    <w:rsid w:val="7334EB58"/>
    <w:rsid w:val="73964702"/>
    <w:rsid w:val="73E5558B"/>
    <w:rsid w:val="76A34822"/>
    <w:rsid w:val="76C296A2"/>
    <w:rsid w:val="76FC6E45"/>
    <w:rsid w:val="775EC60E"/>
    <w:rsid w:val="77990353"/>
    <w:rsid w:val="788FF362"/>
    <w:rsid w:val="789ECA6B"/>
    <w:rsid w:val="790E1BCF"/>
    <w:rsid w:val="79576842"/>
    <w:rsid w:val="796FB20E"/>
    <w:rsid w:val="7AA82E87"/>
    <w:rsid w:val="7AAA96FF"/>
    <w:rsid w:val="7B81401E"/>
    <w:rsid w:val="7BDA9912"/>
    <w:rsid w:val="7C157867"/>
    <w:rsid w:val="7CAE38A4"/>
    <w:rsid w:val="7D099569"/>
    <w:rsid w:val="7D25EF8C"/>
    <w:rsid w:val="7DB4A2C7"/>
    <w:rsid w:val="7DFC296C"/>
    <w:rsid w:val="7E34463A"/>
    <w:rsid w:val="7E73160B"/>
    <w:rsid w:val="7E7D15E1"/>
    <w:rsid w:val="7F07B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52A39"/>
  <w15:docId w15:val="{3CBABCD9-9A9D-4718-8C7D-0FD47DC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972"/>
    <w:pPr>
      <w:jc w:val="both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170972"/>
    <w:pPr>
      <w:keepNext/>
      <w:spacing w:before="240"/>
      <w:outlineLvl w:val="0"/>
    </w:pPr>
    <w:rPr>
      <w:b/>
      <w:bCs/>
      <w:i/>
      <w:iCs/>
      <w:u w:val="single"/>
    </w:rPr>
  </w:style>
  <w:style w:type="paragraph" w:styleId="Ttulo4">
    <w:name w:val="heading 4"/>
    <w:basedOn w:val="Normal"/>
    <w:next w:val="Normal"/>
    <w:link w:val="Ttulo4Car"/>
    <w:unhideWhenUsed/>
    <w:qFormat/>
    <w:rsid w:val="000950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0972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170972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sid w:val="00170972"/>
    <w:rPr>
      <w:sz w:val="20"/>
      <w:szCs w:val="20"/>
    </w:rPr>
  </w:style>
  <w:style w:type="paragraph" w:customStyle="1" w:styleId="n0">
    <w:name w:val="n0"/>
    <w:basedOn w:val="Normal"/>
    <w:rsid w:val="00170972"/>
    <w:pPr>
      <w:keepLines/>
      <w:spacing w:before="240"/>
      <w:ind w:left="709" w:right="-351" w:hanging="709"/>
    </w:pPr>
    <w:rPr>
      <w:color w:val="800080"/>
    </w:rPr>
  </w:style>
  <w:style w:type="paragraph" w:styleId="Textoindependiente">
    <w:name w:val="Body Text"/>
    <w:basedOn w:val="Normal"/>
    <w:rsid w:val="00170972"/>
    <w:pPr>
      <w:spacing w:before="240"/>
    </w:pPr>
    <w:rPr>
      <w:color w:val="0000FF"/>
    </w:rPr>
  </w:style>
  <w:style w:type="paragraph" w:customStyle="1" w:styleId="n01">
    <w:name w:val="n01"/>
    <w:basedOn w:val="Normal"/>
    <w:rsid w:val="00170972"/>
    <w:pPr>
      <w:keepLines/>
      <w:spacing w:before="240"/>
      <w:ind w:left="720" w:hanging="720"/>
    </w:pPr>
    <w:rPr>
      <w:rFonts w:ascii="Univers (W1)" w:hAnsi="Univers (W1)"/>
      <w:color w:val="800080"/>
    </w:rPr>
  </w:style>
  <w:style w:type="paragraph" w:customStyle="1" w:styleId="Mapadeldocumento1">
    <w:name w:val="Mapa del documento1"/>
    <w:basedOn w:val="Normal"/>
    <w:rsid w:val="00170972"/>
    <w:pPr>
      <w:shd w:val="clear" w:color="auto" w:fill="000080"/>
    </w:pPr>
    <w:rPr>
      <w:rFonts w:ascii="Tahoma" w:hAnsi="Tahoma" w:cs="Tahoma"/>
    </w:rPr>
  </w:style>
  <w:style w:type="paragraph" w:customStyle="1" w:styleId="Profesin">
    <w:name w:val="Profesión"/>
    <w:basedOn w:val="Normal"/>
    <w:rsid w:val="00170972"/>
    <w:pPr>
      <w:jc w:val="center"/>
    </w:pPr>
    <w:rPr>
      <w:b/>
      <w:bCs/>
      <w:caps/>
      <w:sz w:val="28"/>
      <w:szCs w:val="28"/>
    </w:rPr>
  </w:style>
  <w:style w:type="paragraph" w:styleId="Subttulo">
    <w:name w:val="Subtitle"/>
    <w:basedOn w:val="Normal"/>
    <w:qFormat/>
    <w:rsid w:val="00170972"/>
    <w:pPr>
      <w:jc w:val="center"/>
    </w:pPr>
    <w:rPr>
      <w:b/>
      <w:bCs/>
    </w:rPr>
  </w:style>
  <w:style w:type="paragraph" w:styleId="Mapadeldocumento">
    <w:name w:val="Document Map"/>
    <w:basedOn w:val="Normal"/>
    <w:semiHidden/>
    <w:rsid w:val="00170972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170972"/>
    <w:pPr>
      <w:spacing w:before="240"/>
      <w:ind w:right="1951"/>
    </w:pPr>
  </w:style>
  <w:style w:type="paragraph" w:customStyle="1" w:styleId="p0">
    <w:name w:val="p0"/>
    <w:basedOn w:val="Normal"/>
    <w:rsid w:val="00170972"/>
    <w:pPr>
      <w:keepLines/>
      <w:widowControl w:val="0"/>
      <w:spacing w:before="240"/>
    </w:pPr>
    <w:rPr>
      <w:rFonts w:ascii="Helvetica" w:hAnsi="Helvetica"/>
      <w:snapToGrid w:val="0"/>
      <w:color w:val="0000FF"/>
    </w:rPr>
  </w:style>
  <w:style w:type="paragraph" w:styleId="Textodeglobo">
    <w:name w:val="Balloon Text"/>
    <w:basedOn w:val="Normal"/>
    <w:semiHidden/>
    <w:rsid w:val="0017097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170972"/>
    <w:pPr>
      <w:spacing w:before="360"/>
      <w:outlineLvl w:val="0"/>
    </w:pPr>
    <w:rPr>
      <w:u w:val="single"/>
    </w:rPr>
  </w:style>
  <w:style w:type="paragraph" w:styleId="TDC7">
    <w:name w:val="toc 7"/>
    <w:basedOn w:val="Normal"/>
    <w:next w:val="Normal"/>
    <w:rsid w:val="00CC726E"/>
    <w:pPr>
      <w:tabs>
        <w:tab w:val="left" w:leader="dot" w:pos="8646"/>
        <w:tab w:val="right" w:pos="9072"/>
      </w:tabs>
      <w:ind w:left="4253" w:right="850"/>
      <w:jc w:val="left"/>
    </w:pPr>
    <w:rPr>
      <w:rFonts w:ascii="Univers (W1)" w:hAnsi="Univers (W1)" w:cs="Times New Roman"/>
    </w:rPr>
  </w:style>
  <w:style w:type="character" w:styleId="Hipervnculo">
    <w:name w:val="Hyperlink"/>
    <w:basedOn w:val="Fuentedeprrafopredeter"/>
    <w:rsid w:val="00404D4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8476D"/>
    <w:pPr>
      <w:ind w:left="708"/>
    </w:pPr>
  </w:style>
  <w:style w:type="paragraph" w:customStyle="1" w:styleId="Texto">
    <w:name w:val="Texto"/>
    <w:basedOn w:val="Normal"/>
    <w:link w:val="TextoCar"/>
    <w:rsid w:val="007F4D45"/>
    <w:pPr>
      <w:spacing w:after="101" w:line="216" w:lineRule="exact"/>
      <w:ind w:firstLine="288"/>
    </w:pPr>
    <w:rPr>
      <w:sz w:val="18"/>
      <w:szCs w:val="20"/>
      <w:lang w:val="es-ES"/>
    </w:rPr>
  </w:style>
  <w:style w:type="character" w:customStyle="1" w:styleId="TextoCar">
    <w:name w:val="Texto Car"/>
    <w:basedOn w:val="Fuentedeprrafopredeter"/>
    <w:link w:val="Texto"/>
    <w:rsid w:val="007F4D45"/>
    <w:rPr>
      <w:rFonts w:ascii="Arial" w:hAnsi="Arial" w:cs="Arial"/>
      <w:sz w:val="18"/>
      <w:lang w:val="es-ES" w:eastAsia="es-ES"/>
    </w:rPr>
  </w:style>
  <w:style w:type="paragraph" w:styleId="Textonotapie">
    <w:name w:val="footnote text"/>
    <w:basedOn w:val="Normal"/>
    <w:link w:val="TextonotapieCar"/>
    <w:rsid w:val="003E64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E64BB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rsid w:val="003E64BB"/>
    <w:rPr>
      <w:vertAlign w:val="superscript"/>
    </w:rPr>
  </w:style>
  <w:style w:type="character" w:styleId="Hipervnculovisitado">
    <w:name w:val="FollowedHyperlink"/>
    <w:basedOn w:val="Fuentedeprrafopredeter"/>
    <w:rsid w:val="00D87BDC"/>
    <w:rPr>
      <w:color w:val="800080" w:themeColor="followedHyperlink"/>
      <w:u w:val="single"/>
    </w:rPr>
  </w:style>
  <w:style w:type="paragraph" w:customStyle="1" w:styleId="Default">
    <w:name w:val="Default"/>
    <w:rsid w:val="00705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076C4"/>
    <w:rPr>
      <w:rFonts w:ascii="Arial" w:hAnsi="Arial" w:cs="Arial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53650"/>
    <w:rPr>
      <w:lang w:eastAsia="es-ES"/>
    </w:rPr>
  </w:style>
  <w:style w:type="paragraph" w:styleId="Textonotaalfinal">
    <w:name w:val="endnote text"/>
    <w:basedOn w:val="Normal"/>
    <w:link w:val="Textonotaalfinal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53650"/>
    <w:rPr>
      <w:lang w:eastAsia="es-ES"/>
    </w:rPr>
  </w:style>
  <w:style w:type="paragraph" w:customStyle="1" w:styleId="bulnot">
    <w:name w:val="bulnot"/>
    <w:basedOn w:val="Normal"/>
    <w:rsid w:val="00D53650"/>
    <w:pPr>
      <w:tabs>
        <w:tab w:val="left" w:pos="851"/>
      </w:tabs>
      <w:spacing w:before="360"/>
      <w:ind w:left="1985" w:right="2036" w:hanging="273"/>
    </w:pPr>
    <w:rPr>
      <w:rFonts w:cs="Times New Roman"/>
      <w:b/>
      <w:color w:val="0000FF"/>
      <w:spacing w:val="10"/>
      <w:sz w:val="22"/>
      <w:szCs w:val="20"/>
      <w:lang w:val="es-MX"/>
    </w:rPr>
  </w:style>
  <w:style w:type="paragraph" w:customStyle="1" w:styleId="texto0">
    <w:name w:val="texto"/>
    <w:basedOn w:val="Normal"/>
    <w:uiPriority w:val="99"/>
    <w:rsid w:val="00D53650"/>
    <w:pPr>
      <w:keepLines/>
      <w:spacing w:before="240"/>
    </w:pPr>
    <w:rPr>
      <w:rFonts w:cs="Times New Roman"/>
      <w:color w:val="000080"/>
      <w:szCs w:val="20"/>
      <w:lang w:val="es-MX"/>
    </w:rPr>
  </w:style>
  <w:style w:type="paragraph" w:customStyle="1" w:styleId="bullet">
    <w:name w:val="bullet"/>
    <w:basedOn w:val="Normal"/>
    <w:rsid w:val="00D53650"/>
    <w:pPr>
      <w:keepLines/>
      <w:spacing w:before="240" w:after="120"/>
      <w:ind w:left="1418" w:right="901" w:hanging="284"/>
    </w:pPr>
    <w:rPr>
      <w:rFonts w:cs="Times New Roman"/>
      <w:b/>
      <w:color w:val="0000FF"/>
      <w:spacing w:val="10"/>
      <w:szCs w:val="20"/>
      <w:lang w:val="es-MX"/>
    </w:rPr>
  </w:style>
  <w:style w:type="paragraph" w:customStyle="1" w:styleId="estado">
    <w:name w:val="estado"/>
    <w:basedOn w:val="Normal"/>
    <w:rsid w:val="00D53650"/>
    <w:pPr>
      <w:spacing w:before="360" w:line="320" w:lineRule="exact"/>
      <w:ind w:left="567" w:hanging="567"/>
    </w:pPr>
    <w:rPr>
      <w:rFonts w:cs="Times New Roman"/>
      <w:szCs w:val="20"/>
      <w:lang w:val="es-MX"/>
    </w:rPr>
  </w:style>
  <w:style w:type="paragraph" w:customStyle="1" w:styleId="tit-gra">
    <w:name w:val="tit-gra"/>
    <w:basedOn w:val="Normal"/>
    <w:rsid w:val="00D53650"/>
    <w:pPr>
      <w:keepNext/>
      <w:keepLines/>
      <w:jc w:val="center"/>
    </w:pPr>
    <w:rPr>
      <w:rFonts w:cs="Times New Roman"/>
      <w:b/>
      <w:szCs w:val="20"/>
      <w:lang w:val="es-MX"/>
    </w:rPr>
  </w:style>
  <w:style w:type="paragraph" w:customStyle="1" w:styleId="var">
    <w:name w:val="var%"/>
    <w:basedOn w:val="Normal"/>
    <w:rsid w:val="00D53650"/>
    <w:pPr>
      <w:jc w:val="center"/>
    </w:pPr>
    <w:rPr>
      <w:rFonts w:cs="Times New Roman"/>
      <w:sz w:val="18"/>
      <w:szCs w:val="20"/>
      <w:lang w:val="es-MX"/>
    </w:rPr>
  </w:style>
  <w:style w:type="paragraph" w:styleId="Textodebloque">
    <w:name w:val="Block Text"/>
    <w:basedOn w:val="Normal"/>
    <w:rsid w:val="00D53650"/>
    <w:pPr>
      <w:spacing w:before="240"/>
      <w:ind w:left="-142" w:right="-91"/>
      <w:jc w:val="center"/>
    </w:pPr>
    <w:rPr>
      <w:rFonts w:cs="Times New Roman"/>
      <w:b/>
      <w:caps/>
      <w:szCs w:val="20"/>
      <w:lang w:val="es-MX"/>
    </w:rPr>
  </w:style>
  <w:style w:type="paragraph" w:customStyle="1" w:styleId="Textodebloque1">
    <w:name w:val="Texto de bloque1"/>
    <w:basedOn w:val="Normal"/>
    <w:rsid w:val="00D53650"/>
    <w:pPr>
      <w:spacing w:before="240"/>
      <w:ind w:left="1843" w:right="1361" w:hanging="273"/>
    </w:pPr>
    <w:rPr>
      <w:rFonts w:cs="Times New Roman"/>
      <w:b/>
      <w:sz w:val="22"/>
      <w:szCs w:val="20"/>
      <w:lang w:val="es-MX"/>
    </w:rPr>
  </w:style>
  <w:style w:type="paragraph" w:customStyle="1" w:styleId="Textoindependiente21">
    <w:name w:val="Texto independiente 21"/>
    <w:basedOn w:val="Normal"/>
    <w:rsid w:val="00D53650"/>
    <w:pPr>
      <w:spacing w:before="360"/>
      <w:ind w:left="570"/>
    </w:pPr>
    <w:rPr>
      <w:rFonts w:cs="Times New Roman"/>
      <w:color w:val="0000FF"/>
      <w:szCs w:val="20"/>
      <w:lang w:val="es-MX"/>
    </w:rPr>
  </w:style>
  <w:style w:type="paragraph" w:customStyle="1" w:styleId="nombre">
    <w:name w:val="nombre"/>
    <w:basedOn w:val="Normal"/>
    <w:rsid w:val="00D53650"/>
    <w:pPr>
      <w:keepLines/>
      <w:spacing w:before="240"/>
      <w:ind w:left="1080" w:hanging="1080"/>
      <w:jc w:val="left"/>
    </w:pPr>
    <w:rPr>
      <w:rFonts w:ascii="Helvetica" w:hAnsi="Helvetica" w:cs="Times New Roman"/>
      <w:color w:val="0000FF"/>
      <w:szCs w:val="20"/>
      <w:lang w:val="es-MX"/>
    </w:rPr>
  </w:style>
  <w:style w:type="paragraph" w:styleId="NormalWeb">
    <w:name w:val="Normal (Web)"/>
    <w:basedOn w:val="Normal"/>
    <w:uiPriority w:val="99"/>
    <w:rsid w:val="00D53650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ES"/>
    </w:rPr>
  </w:style>
  <w:style w:type="paragraph" w:styleId="Ttulo">
    <w:name w:val="Title"/>
    <w:basedOn w:val="Normal"/>
    <w:link w:val="TtuloCar"/>
    <w:qFormat/>
    <w:rsid w:val="00D53650"/>
    <w:pPr>
      <w:jc w:val="center"/>
    </w:pPr>
    <w:rPr>
      <w:rFonts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D53650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D536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semiHidden/>
    <w:rsid w:val="00D53650"/>
    <w:rPr>
      <w:vertAlign w:val="superscript"/>
    </w:rPr>
  </w:style>
  <w:style w:type="paragraph" w:customStyle="1" w:styleId="p1">
    <w:name w:val="p1"/>
    <w:basedOn w:val="p0"/>
    <w:rsid w:val="00D53650"/>
    <w:pPr>
      <w:spacing w:before="360"/>
    </w:pPr>
    <w:rPr>
      <w:rFonts w:ascii="Arial" w:hAnsi="Arial" w:cs="Times New Roman"/>
      <w:szCs w:val="20"/>
    </w:rPr>
  </w:style>
  <w:style w:type="paragraph" w:styleId="ndice3">
    <w:name w:val="index 3"/>
    <w:basedOn w:val="Normal"/>
    <w:next w:val="Normal"/>
    <w:rsid w:val="00D53650"/>
    <w:pPr>
      <w:keepLines/>
      <w:ind w:left="567"/>
    </w:pPr>
    <w:rPr>
      <w:rFonts w:ascii="Univers" w:hAnsi="Univers" w:cs="Times New Roman"/>
      <w:szCs w:val="20"/>
      <w:lang w:val="es-MX"/>
    </w:rPr>
  </w:style>
  <w:style w:type="paragraph" w:customStyle="1" w:styleId="Normal1">
    <w:name w:val="Normal1"/>
    <w:rsid w:val="00D53650"/>
    <w:rPr>
      <w:rFonts w:ascii="CG Times" w:hAnsi="CG Times"/>
      <w:lang w:val="es-ES_tradnl" w:eastAsia="es-ES"/>
    </w:rPr>
  </w:style>
  <w:style w:type="paragraph" w:customStyle="1" w:styleId="consang">
    <w:name w:val="con sang"/>
    <w:basedOn w:val="Normal"/>
    <w:link w:val="consangCar"/>
    <w:qFormat/>
    <w:rsid w:val="00D53650"/>
    <w:pPr>
      <w:spacing w:after="200" w:line="276" w:lineRule="auto"/>
      <w:ind w:firstLine="426"/>
    </w:pPr>
    <w:rPr>
      <w:rFonts w:ascii="Times New Roman" w:eastAsia="Calibri" w:hAnsi="Times New Roman" w:cs="Times New Roman"/>
      <w:szCs w:val="22"/>
      <w:lang w:val="es-MX" w:eastAsia="en-US"/>
    </w:rPr>
  </w:style>
  <w:style w:type="character" w:customStyle="1" w:styleId="consangCar">
    <w:name w:val="con sang Car"/>
    <w:basedOn w:val="Fuentedeprrafopredeter"/>
    <w:link w:val="consang"/>
    <w:rsid w:val="00D53650"/>
    <w:rPr>
      <w:rFonts w:eastAsia="Calibri"/>
      <w:sz w:val="24"/>
      <w:szCs w:val="22"/>
      <w:lang w:eastAsia="en-US"/>
    </w:rPr>
  </w:style>
  <w:style w:type="character" w:styleId="nfasis">
    <w:name w:val="Emphasis"/>
    <w:basedOn w:val="Fuentedeprrafopredeter"/>
    <w:qFormat/>
    <w:rsid w:val="00D53650"/>
    <w:rPr>
      <w:i/>
      <w:iCs/>
    </w:rPr>
  </w:style>
  <w:style w:type="character" w:customStyle="1" w:styleId="Ttulo4Car">
    <w:name w:val="Título 4 Car"/>
    <w:basedOn w:val="Fuentedeprrafopredeter"/>
    <w:link w:val="Ttulo4"/>
    <w:rsid w:val="000950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1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22A4"/>
    <w:rPr>
      <w:color w:val="605E5C"/>
      <w:shd w:val="clear" w:color="auto" w:fill="E1DFDD"/>
    </w:rPr>
  </w:style>
  <w:style w:type="paragraph" w:customStyle="1" w:styleId="parrafo1">
    <w:name w:val="parrafo1"/>
    <w:basedOn w:val="Normal"/>
    <w:rsid w:val="00AD03E9"/>
    <w:pPr>
      <w:spacing w:before="480"/>
      <w:ind w:left="426" w:right="443"/>
    </w:pPr>
    <w:rPr>
      <w:rFonts w:cs="Times New Roman"/>
      <w:szCs w:val="20"/>
    </w:rPr>
  </w:style>
  <w:style w:type="paragraph" w:customStyle="1" w:styleId="parr2">
    <w:name w:val="parr2"/>
    <w:basedOn w:val="Normal"/>
    <w:rsid w:val="001B4785"/>
    <w:pPr>
      <w:spacing w:before="600"/>
      <w:ind w:left="567" w:right="15"/>
    </w:pPr>
    <w:rPr>
      <w:rFonts w:cs="Times New Roman"/>
      <w:szCs w:val="20"/>
    </w:rPr>
  </w:style>
  <w:style w:type="paragraph" w:styleId="Revisin">
    <w:name w:val="Revision"/>
    <w:hidden/>
    <w:uiPriority w:val="99"/>
    <w:semiHidden/>
    <w:rsid w:val="009F613B"/>
    <w:rPr>
      <w:rFonts w:ascii="Arial" w:hAnsi="Arial" w:cs="Arial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D121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21AC"/>
    <w:pPr>
      <w:jc w:val="both"/>
    </w:pPr>
    <w:rPr>
      <w:rFonts w:ascii="Arial" w:hAnsi="Arial" w:cs="Arial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21AC"/>
    <w:rPr>
      <w:rFonts w:ascii="Arial" w:hAnsi="Arial" w:cs="Arial"/>
      <w:b/>
      <w:bCs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3799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497F36"/>
  </w:style>
  <w:style w:type="character" w:customStyle="1" w:styleId="PiedepginaCar">
    <w:name w:val="Pie de página Car"/>
    <w:basedOn w:val="Fuentedeprrafopredeter"/>
    <w:link w:val="Piedepgina"/>
    <w:uiPriority w:val="99"/>
    <w:rsid w:val="0044026C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2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6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80"/>
                            <w:left w:val="none" w:sz="0" w:space="0" w:color="000080"/>
                            <w:bottom w:val="none" w:sz="0" w:space="0" w:color="000080"/>
                            <w:right w:val="none" w:sz="0" w:space="0" w:color="0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INEGIInforma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negi.org.mx/programas/emim/2018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negi.org.mx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omunicacionsocial@inegi.org.mx" TargetMode="External"/><Relationship Id="rId17" Type="http://schemas.openxmlformats.org/officeDocument/2006/relationships/hyperlink" Target="https://twitter.com/INEGI_INFORMA" TargetMode="External"/><Relationship Id="rId25" Type="http://schemas.openxmlformats.org/officeDocument/2006/relationships/chart" Target="charts/chart4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3.xml"/><Relationship Id="rId32" Type="http://schemas.openxmlformats.org/officeDocument/2006/relationships/hyperlink" Target="https://www.inegi.org.mx/app/indicadores/?tm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inegi_informa/" TargetMode="External"/><Relationship Id="rId23" Type="http://schemas.openxmlformats.org/officeDocument/2006/relationships/chart" Target="charts/chart2.xml"/><Relationship Id="rId28" Type="http://schemas.openxmlformats.org/officeDocument/2006/relationships/hyperlink" Target="https://www.inegi.org.mx/app/biblioteca/ficha.html?upc=702825099060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INEGIInforma" TargetMode="External"/><Relationship Id="rId31" Type="http://schemas.openxmlformats.org/officeDocument/2006/relationships/hyperlink" Target="https://www.inegi.org.mx/programas/emim/2018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yperlink" Target="https://www.inegi.org.mx/programas/emim/2018/" TargetMode="External"/><Relationship Id="rId30" Type="http://schemas.openxmlformats.org/officeDocument/2006/relationships/hyperlink" Target="https://www.inegi.org.mx/temas/manufacturas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3.2.159\412_SUB_AES\1.-COMUNICADOS%20Y%20NOTAS\Manufacturas\4.-Cuadros%20y%20gr&#225;ficas\Manufacturas_Gr&#225;ficas%20Desest%20y%20Tendencia-Cicl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3.2.159\412_SUB_AES\1.-COMUNICADOS%20Y%20NOTAS\Manufacturas\4.-Cuadros%20y%20gr&#225;ficas\Manufacturas_Gr&#225;ficas%20Desest%20y%20Tendencia-Cicl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3.2.159\412_SUB_AES\1.-COMUNICADOS%20Y%20NOTAS\Manufacturas\4.-Cuadros%20y%20gr&#225;ficas\Manufacturas_Gr&#225;ficas%20Desest%20y%20Tendencia-Cicl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3.2.159\412_SUB_AES\1.-COMUNICADOS%20Y%20NOTAS\Manufacturas\4.-Cuadros%20y%20gr&#225;ficas\Manufacturas_Gr&#225;ficas%20Desest%20y%20Tendencia-Cicl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758134920634922E-2"/>
          <c:y val="4.3384027777777785E-2"/>
          <c:w val="0.92516587301587316"/>
          <c:h val="0.810482638888888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DATOS!$C$4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33CCCC"/>
            </a:solidFill>
            <a:ln>
              <a:noFill/>
            </a:ln>
          </c:spPr>
          <c:invertIfNegative val="0"/>
          <c:cat>
            <c:multiLvlStrRef>
              <c:f>DATOS!$A$149:$B$220</c:f>
              <c:multiLvlStrCache>
                <c:ptCount val="6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DATOS!$C$149:$C$220</c:f>
              <c:numCache>
                <c:formatCode>0.0_)</c:formatCode>
                <c:ptCount val="62"/>
                <c:pt idx="0">
                  <c:v>101.47943214529199</c:v>
                </c:pt>
                <c:pt idx="1">
                  <c:v>101.692881447704</c:v>
                </c:pt>
                <c:pt idx="2">
                  <c:v>101.865620486496</c:v>
                </c:pt>
                <c:pt idx="3">
                  <c:v>101.87328647120501</c:v>
                </c:pt>
                <c:pt idx="4">
                  <c:v>102.113183020511</c:v>
                </c:pt>
                <c:pt idx="5">
                  <c:v>102.019038100467</c:v>
                </c:pt>
                <c:pt idx="6">
                  <c:v>102.304393035516</c:v>
                </c:pt>
                <c:pt idx="7">
                  <c:v>102.01287182016399</c:v>
                </c:pt>
                <c:pt idx="8">
                  <c:v>101.74448960795399</c:v>
                </c:pt>
                <c:pt idx="9">
                  <c:v>101.427408633654</c:v>
                </c:pt>
                <c:pt idx="10">
                  <c:v>101.110718722191</c:v>
                </c:pt>
                <c:pt idx="11">
                  <c:v>100.825127072675</c:v>
                </c:pt>
                <c:pt idx="12">
                  <c:v>101.01446482910301</c:v>
                </c:pt>
                <c:pt idx="13">
                  <c:v>100.98313641315301</c:v>
                </c:pt>
                <c:pt idx="14">
                  <c:v>100.256624249748</c:v>
                </c:pt>
                <c:pt idx="15">
                  <c:v>98.688932138183603</c:v>
                </c:pt>
                <c:pt idx="16">
                  <c:v>97.331135284306498</c:v>
                </c:pt>
                <c:pt idx="17">
                  <c:v>97.5041732058977</c:v>
                </c:pt>
                <c:pt idx="18">
                  <c:v>98.4069487567875</c:v>
                </c:pt>
                <c:pt idx="19">
                  <c:v>98.714333944229793</c:v>
                </c:pt>
                <c:pt idx="20">
                  <c:v>99.145000157484802</c:v>
                </c:pt>
                <c:pt idx="21">
                  <c:v>99.962221230415096</c:v>
                </c:pt>
                <c:pt idx="22">
                  <c:v>100.198615004326</c:v>
                </c:pt>
                <c:pt idx="23">
                  <c:v>100.984212727276</c:v>
                </c:pt>
                <c:pt idx="24">
                  <c:v>101.27412673426301</c:v>
                </c:pt>
                <c:pt idx="25">
                  <c:v>101.392769839764</c:v>
                </c:pt>
                <c:pt idx="26">
                  <c:v>101.658415223641</c:v>
                </c:pt>
                <c:pt idx="27">
                  <c:v>101.796334342977</c:v>
                </c:pt>
                <c:pt idx="28">
                  <c:v>101.50644094667</c:v>
                </c:pt>
                <c:pt idx="29">
                  <c:v>102.040493501014</c:v>
                </c:pt>
                <c:pt idx="30">
                  <c:v>102.821515401347</c:v>
                </c:pt>
                <c:pt idx="31">
                  <c:v>102.107786848787</c:v>
                </c:pt>
                <c:pt idx="32">
                  <c:v>102.624833538695</c:v>
                </c:pt>
                <c:pt idx="33">
                  <c:v>102.570228393504</c:v>
                </c:pt>
                <c:pt idx="34">
                  <c:v>102.897962577426</c:v>
                </c:pt>
                <c:pt idx="35">
                  <c:v>102.848890238539</c:v>
                </c:pt>
                <c:pt idx="36">
                  <c:v>103.049903005682</c:v>
                </c:pt>
                <c:pt idx="37">
                  <c:v>103.631032679634</c:v>
                </c:pt>
                <c:pt idx="38">
                  <c:v>104.25843542036399</c:v>
                </c:pt>
                <c:pt idx="39">
                  <c:v>104.006674279699</c:v>
                </c:pt>
                <c:pt idx="40">
                  <c:v>104.09551236262</c:v>
                </c:pt>
                <c:pt idx="41">
                  <c:v>104.078150662719</c:v>
                </c:pt>
                <c:pt idx="42">
                  <c:v>103.91029786132199</c:v>
                </c:pt>
                <c:pt idx="43">
                  <c:v>103.984952869144</c:v>
                </c:pt>
                <c:pt idx="44">
                  <c:v>104.41179243584</c:v>
                </c:pt>
                <c:pt idx="45">
                  <c:v>104.194729363698</c:v>
                </c:pt>
                <c:pt idx="46">
                  <c:v>104.28598295424101</c:v>
                </c:pt>
                <c:pt idx="47">
                  <c:v>104.529938714575</c:v>
                </c:pt>
                <c:pt idx="48">
                  <c:v>104.02600392563799</c:v>
                </c:pt>
                <c:pt idx="49">
                  <c:v>103.959838337223</c:v>
                </c:pt>
                <c:pt idx="50">
                  <c:v>103.85700789167301</c:v>
                </c:pt>
                <c:pt idx="51">
                  <c:v>103.919400752397</c:v>
                </c:pt>
                <c:pt idx="52">
                  <c:v>104.091566174001</c:v>
                </c:pt>
                <c:pt idx="53">
                  <c:v>104.32524375481999</c:v>
                </c:pt>
                <c:pt idx="54">
                  <c:v>104.09889704704101</c:v>
                </c:pt>
                <c:pt idx="55">
                  <c:v>104.072753117494</c:v>
                </c:pt>
                <c:pt idx="56">
                  <c:v>103.402025903203</c:v>
                </c:pt>
                <c:pt idx="57">
                  <c:v>103.217310611058</c:v>
                </c:pt>
                <c:pt idx="58">
                  <c:v>102.982233170397</c:v>
                </c:pt>
                <c:pt idx="59">
                  <c:v>102.805491603672</c:v>
                </c:pt>
                <c:pt idx="60">
                  <c:v>102.561216617978</c:v>
                </c:pt>
                <c:pt idx="61">
                  <c:v>102.376298691409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A-49B2-8A44-C1C04E88D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431783088"/>
        <c:axId val="431785440"/>
      </c:barChart>
      <c:lineChart>
        <c:grouping val="standard"/>
        <c:varyColors val="0"/>
        <c:ser>
          <c:idx val="1"/>
          <c:order val="1"/>
          <c:tx>
            <c:strRef>
              <c:f>DATOS!$D$4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rgbClr val="002060"/>
              </a:solidFill>
            </a:ln>
          </c:spPr>
          <c:marker>
            <c:symbol val="none"/>
          </c:marker>
          <c:cat>
            <c:multiLvlStrRef>
              <c:f>DATOS!$A$137:$B$208</c:f>
              <c:multiLvlStrCache>
                <c:ptCount val="7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DATOS!$D$149:$D$220</c:f>
              <c:numCache>
                <c:formatCode>0.0_)</c:formatCode>
                <c:ptCount val="62"/>
                <c:pt idx="0">
                  <c:v>101.478451064723</c:v>
                </c:pt>
                <c:pt idx="1">
                  <c:v>101.660258083453</c:v>
                </c:pt>
                <c:pt idx="2">
                  <c:v>101.818801328875</c:v>
                </c:pt>
                <c:pt idx="3">
                  <c:v>101.953812746324</c:v>
                </c:pt>
                <c:pt idx="4">
                  <c:v>102.06342913052001</c:v>
                </c:pt>
                <c:pt idx="5">
                  <c:v>102.143799746102</c:v>
                </c:pt>
                <c:pt idx="6">
                  <c:v>102.14103228094601</c:v>
                </c:pt>
                <c:pt idx="7">
                  <c:v>102.012380849427</c:v>
                </c:pt>
                <c:pt idx="8">
                  <c:v>101.74571157614901</c:v>
                </c:pt>
                <c:pt idx="9">
                  <c:v>101.42925061958</c:v>
                </c:pt>
                <c:pt idx="10">
                  <c:v>101.157023115558</c:v>
                </c:pt>
                <c:pt idx="11">
                  <c:v>100.957580014363</c:v>
                </c:pt>
                <c:pt idx="12">
                  <c:v>100.789731636779</c:v>
                </c:pt>
                <c:pt idx="13">
                  <c:v>100.618911356691</c:v>
                </c:pt>
                <c:pt idx="14">
                  <c:v>100.424062835377</c:v>
                </c:pt>
                <c:pt idx="15">
                  <c:v>98.593046333843802</c:v>
                </c:pt>
                <c:pt idx="16">
                  <c:v>98.436451489668897</c:v>
                </c:pt>
                <c:pt idx="17">
                  <c:v>98.374074766974303</c:v>
                </c:pt>
                <c:pt idx="18">
                  <c:v>98.468177088044996</c:v>
                </c:pt>
                <c:pt idx="19">
                  <c:v>98.751657151513101</c:v>
                </c:pt>
                <c:pt idx="20">
                  <c:v>99.217357731248498</c:v>
                </c:pt>
                <c:pt idx="21">
                  <c:v>99.789399561669001</c:v>
                </c:pt>
                <c:pt idx="22">
                  <c:v>100.363982436451</c:v>
                </c:pt>
                <c:pt idx="23">
                  <c:v>100.85027856466201</c:v>
                </c:pt>
                <c:pt idx="24">
                  <c:v>101.215349580092</c:v>
                </c:pt>
                <c:pt idx="25">
                  <c:v>101.46996379159199</c:v>
                </c:pt>
                <c:pt idx="26">
                  <c:v>101.64427313806701</c:v>
                </c:pt>
                <c:pt idx="27">
                  <c:v>101.776533208438</c:v>
                </c:pt>
                <c:pt idx="28">
                  <c:v>101.926503067442</c:v>
                </c:pt>
                <c:pt idx="29">
                  <c:v>102.097105912858</c:v>
                </c:pt>
                <c:pt idx="30">
                  <c:v>102.267853351868</c:v>
                </c:pt>
                <c:pt idx="31">
                  <c:v>102.434662021805</c:v>
                </c:pt>
                <c:pt idx="32">
                  <c:v>102.57357877880401</c:v>
                </c:pt>
                <c:pt idx="33">
                  <c:v>102.66726216797601</c:v>
                </c:pt>
                <c:pt idx="34">
                  <c:v>102.762827082652</c:v>
                </c:pt>
                <c:pt idx="35">
                  <c:v>102.93587579517001</c:v>
                </c:pt>
                <c:pt idx="36">
                  <c:v>103.206693922605</c:v>
                </c:pt>
                <c:pt idx="37">
                  <c:v>103.533470918982</c:v>
                </c:pt>
                <c:pt idx="38">
                  <c:v>103.835851914034</c:v>
                </c:pt>
                <c:pt idx="39">
                  <c:v>104.030478820813</c:v>
                </c:pt>
                <c:pt idx="40">
                  <c:v>104.063273148305</c:v>
                </c:pt>
                <c:pt idx="41">
                  <c:v>104.03096591464799</c:v>
                </c:pt>
                <c:pt idx="42">
                  <c:v>104.02782080705801</c:v>
                </c:pt>
                <c:pt idx="43">
                  <c:v>104.075012615278</c:v>
                </c:pt>
                <c:pt idx="44">
                  <c:v>104.173505301692</c:v>
                </c:pt>
                <c:pt idx="45">
                  <c:v>104.26891045531499</c:v>
                </c:pt>
                <c:pt idx="46">
                  <c:v>104.292166058662</c:v>
                </c:pt>
                <c:pt idx="47">
                  <c:v>104.21844824676</c:v>
                </c:pt>
                <c:pt idx="48">
                  <c:v>104.088841883387</c:v>
                </c:pt>
                <c:pt idx="49">
                  <c:v>103.962205554631</c:v>
                </c:pt>
                <c:pt idx="50">
                  <c:v>103.912075371265</c:v>
                </c:pt>
                <c:pt idx="51">
                  <c:v>103.97737068482699</c:v>
                </c:pt>
                <c:pt idx="52">
                  <c:v>104.113845503612</c:v>
                </c:pt>
                <c:pt idx="53">
                  <c:v>104.191580722993</c:v>
                </c:pt>
                <c:pt idx="54">
                  <c:v>104.119370734</c:v>
                </c:pt>
                <c:pt idx="55">
                  <c:v>103.878971737887</c:v>
                </c:pt>
                <c:pt idx="56">
                  <c:v>103.55206996448</c:v>
                </c:pt>
                <c:pt idx="57">
                  <c:v>103.236560905517</c:v>
                </c:pt>
                <c:pt idx="58">
                  <c:v>102.973955721881</c:v>
                </c:pt>
                <c:pt idx="59">
                  <c:v>102.75389122887999</c:v>
                </c:pt>
                <c:pt idx="60">
                  <c:v>102.570700116081</c:v>
                </c:pt>
                <c:pt idx="61">
                  <c:v>102.420581803874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8A-49B2-8A44-C1C04E88D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1783088"/>
        <c:axId val="431785440"/>
      </c:lineChart>
      <c:catAx>
        <c:axId val="43178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es-MX"/>
          </a:p>
        </c:txPr>
        <c:crossAx val="431785440"/>
        <c:crosses val="autoZero"/>
        <c:auto val="1"/>
        <c:lblAlgn val="ctr"/>
        <c:lblOffset val="100"/>
        <c:tickLblSkip val="1"/>
        <c:tickMarkSkip val="12"/>
        <c:noMultiLvlLbl val="1"/>
      </c:catAx>
      <c:valAx>
        <c:axId val="431785440"/>
        <c:scaling>
          <c:orientation val="minMax"/>
          <c:max val="107"/>
          <c:min val="94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crossAx val="431783088"/>
        <c:crosses val="autoZero"/>
        <c:crossBetween val="between"/>
        <c:majorUnit val="3"/>
        <c:minorUnit val="0.4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5.2498809523809524E-2"/>
          <c:y val="0.9523471036104193"/>
          <c:w val="0.90207292463620758"/>
          <c:h val="4.0560319986565445E-2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spPr>
    <a:noFill/>
    <a:ln w="6350">
      <a:solidFill>
        <a:schemeClr val="tx1"/>
      </a:solidFill>
    </a:ln>
    <a:effectLst>
      <a:outerShdw dist="12700" dir="2700000" algn="tl" rotWithShape="0">
        <a:prstClr val="black"/>
      </a:outerShdw>
    </a:effectLst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758134920634922E-2"/>
          <c:y val="4.3384027777777785E-2"/>
          <c:w val="0.92516587301587316"/>
          <c:h val="0.810482638888888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DATOS!$C$4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33CCCC"/>
            </a:solidFill>
            <a:ln>
              <a:noFill/>
            </a:ln>
          </c:spPr>
          <c:invertIfNegative val="0"/>
          <c:cat>
            <c:multiLvlStrRef>
              <c:f>DATOS!$A$149:$B$220</c:f>
              <c:multiLvlStrCache>
                <c:ptCount val="6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DATOS!$C$149:$C$220</c:f>
              <c:numCache>
                <c:formatCode>0.0_)</c:formatCode>
                <c:ptCount val="62"/>
                <c:pt idx="0">
                  <c:v>101.47943214529199</c:v>
                </c:pt>
                <c:pt idx="1">
                  <c:v>101.692881447704</c:v>
                </c:pt>
                <c:pt idx="2">
                  <c:v>101.865620486496</c:v>
                </c:pt>
                <c:pt idx="3">
                  <c:v>101.87328647120501</c:v>
                </c:pt>
                <c:pt idx="4">
                  <c:v>102.113183020511</c:v>
                </c:pt>
                <c:pt idx="5">
                  <c:v>102.019038100467</c:v>
                </c:pt>
                <c:pt idx="6">
                  <c:v>102.304393035516</c:v>
                </c:pt>
                <c:pt idx="7">
                  <c:v>102.01287182016399</c:v>
                </c:pt>
                <c:pt idx="8">
                  <c:v>101.74448960795399</c:v>
                </c:pt>
                <c:pt idx="9">
                  <c:v>101.427408633654</c:v>
                </c:pt>
                <c:pt idx="10">
                  <c:v>101.110718722191</c:v>
                </c:pt>
                <c:pt idx="11">
                  <c:v>100.825127072675</c:v>
                </c:pt>
                <c:pt idx="12">
                  <c:v>101.01446482910301</c:v>
                </c:pt>
                <c:pt idx="13">
                  <c:v>100.98313641315301</c:v>
                </c:pt>
                <c:pt idx="14">
                  <c:v>100.256624249748</c:v>
                </c:pt>
                <c:pt idx="15">
                  <c:v>98.688932138183603</c:v>
                </c:pt>
                <c:pt idx="16">
                  <c:v>97.331135284306498</c:v>
                </c:pt>
                <c:pt idx="17">
                  <c:v>97.5041732058977</c:v>
                </c:pt>
                <c:pt idx="18">
                  <c:v>98.4069487567875</c:v>
                </c:pt>
                <c:pt idx="19">
                  <c:v>98.714333944229793</c:v>
                </c:pt>
                <c:pt idx="20">
                  <c:v>99.145000157484802</c:v>
                </c:pt>
                <c:pt idx="21">
                  <c:v>99.962221230415096</c:v>
                </c:pt>
                <c:pt idx="22">
                  <c:v>100.198615004326</c:v>
                </c:pt>
                <c:pt idx="23">
                  <c:v>100.984212727276</c:v>
                </c:pt>
                <c:pt idx="24">
                  <c:v>101.27412673426301</c:v>
                </c:pt>
                <c:pt idx="25">
                  <c:v>101.392769839764</c:v>
                </c:pt>
                <c:pt idx="26">
                  <c:v>101.658415223641</c:v>
                </c:pt>
                <c:pt idx="27">
                  <c:v>101.796334342977</c:v>
                </c:pt>
                <c:pt idx="28">
                  <c:v>101.50644094667</c:v>
                </c:pt>
                <c:pt idx="29">
                  <c:v>102.040493501014</c:v>
                </c:pt>
                <c:pt idx="30">
                  <c:v>102.821515401347</c:v>
                </c:pt>
                <c:pt idx="31">
                  <c:v>102.107786848787</c:v>
                </c:pt>
                <c:pt idx="32">
                  <c:v>102.624833538695</c:v>
                </c:pt>
                <c:pt idx="33">
                  <c:v>102.570228393504</c:v>
                </c:pt>
                <c:pt idx="34">
                  <c:v>102.897962577426</c:v>
                </c:pt>
                <c:pt idx="35">
                  <c:v>102.848890238539</c:v>
                </c:pt>
                <c:pt idx="36">
                  <c:v>103.049903005682</c:v>
                </c:pt>
                <c:pt idx="37">
                  <c:v>103.631032679634</c:v>
                </c:pt>
                <c:pt idx="38">
                  <c:v>104.25843542036399</c:v>
                </c:pt>
                <c:pt idx="39">
                  <c:v>104.006674279699</c:v>
                </c:pt>
                <c:pt idx="40">
                  <c:v>104.09551236262</c:v>
                </c:pt>
                <c:pt idx="41">
                  <c:v>104.078150662719</c:v>
                </c:pt>
                <c:pt idx="42">
                  <c:v>103.91029786132199</c:v>
                </c:pt>
                <c:pt idx="43">
                  <c:v>103.984952869144</c:v>
                </c:pt>
                <c:pt idx="44">
                  <c:v>104.41179243584</c:v>
                </c:pt>
                <c:pt idx="45">
                  <c:v>104.194729363698</c:v>
                </c:pt>
                <c:pt idx="46">
                  <c:v>104.28598295424101</c:v>
                </c:pt>
                <c:pt idx="47">
                  <c:v>104.529938714575</c:v>
                </c:pt>
                <c:pt idx="48">
                  <c:v>104.02600392563799</c:v>
                </c:pt>
                <c:pt idx="49">
                  <c:v>103.959838337223</c:v>
                </c:pt>
                <c:pt idx="50">
                  <c:v>103.85700789167301</c:v>
                </c:pt>
                <c:pt idx="51">
                  <c:v>103.919400752397</c:v>
                </c:pt>
                <c:pt idx="52">
                  <c:v>104.091566174001</c:v>
                </c:pt>
                <c:pt idx="53">
                  <c:v>104.32524375481999</c:v>
                </c:pt>
                <c:pt idx="54">
                  <c:v>104.09889704704101</c:v>
                </c:pt>
                <c:pt idx="55">
                  <c:v>104.072753117494</c:v>
                </c:pt>
                <c:pt idx="56">
                  <c:v>103.402025903203</c:v>
                </c:pt>
                <c:pt idx="57">
                  <c:v>103.217310611058</c:v>
                </c:pt>
                <c:pt idx="58">
                  <c:v>102.982233170397</c:v>
                </c:pt>
                <c:pt idx="59">
                  <c:v>102.805491603672</c:v>
                </c:pt>
                <c:pt idx="60">
                  <c:v>102.561216617978</c:v>
                </c:pt>
                <c:pt idx="61">
                  <c:v>102.376298691409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7F-472C-8FDE-0E8E48502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431783088"/>
        <c:axId val="431785440"/>
      </c:barChart>
      <c:lineChart>
        <c:grouping val="standard"/>
        <c:varyColors val="0"/>
        <c:ser>
          <c:idx val="1"/>
          <c:order val="1"/>
          <c:tx>
            <c:strRef>
              <c:f>DATOS!$D$4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rgbClr val="002060"/>
              </a:solidFill>
            </a:ln>
          </c:spPr>
          <c:marker>
            <c:symbol val="none"/>
          </c:marker>
          <c:cat>
            <c:multiLvlStrRef>
              <c:f>DATOS!$A$137:$B$208</c:f>
              <c:multiLvlStrCache>
                <c:ptCount val="7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DATOS!$D$149:$D$220</c:f>
              <c:numCache>
                <c:formatCode>0.0_)</c:formatCode>
                <c:ptCount val="62"/>
                <c:pt idx="0">
                  <c:v>101.478451064723</c:v>
                </c:pt>
                <c:pt idx="1">
                  <c:v>101.660258083453</c:v>
                </c:pt>
                <c:pt idx="2">
                  <c:v>101.818801328875</c:v>
                </c:pt>
                <c:pt idx="3">
                  <c:v>101.953812746324</c:v>
                </c:pt>
                <c:pt idx="4">
                  <c:v>102.06342913052001</c:v>
                </c:pt>
                <c:pt idx="5">
                  <c:v>102.143799746102</c:v>
                </c:pt>
                <c:pt idx="6">
                  <c:v>102.14103228094601</c:v>
                </c:pt>
                <c:pt idx="7">
                  <c:v>102.012380849427</c:v>
                </c:pt>
                <c:pt idx="8">
                  <c:v>101.74571157614901</c:v>
                </c:pt>
                <c:pt idx="9">
                  <c:v>101.42925061958</c:v>
                </c:pt>
                <c:pt idx="10">
                  <c:v>101.157023115558</c:v>
                </c:pt>
                <c:pt idx="11">
                  <c:v>100.957580014363</c:v>
                </c:pt>
                <c:pt idx="12">
                  <c:v>100.789731636779</c:v>
                </c:pt>
                <c:pt idx="13">
                  <c:v>100.618911356691</c:v>
                </c:pt>
                <c:pt idx="14">
                  <c:v>100.424062835377</c:v>
                </c:pt>
                <c:pt idx="15">
                  <c:v>98.593046333843802</c:v>
                </c:pt>
                <c:pt idx="16">
                  <c:v>98.436451489668897</c:v>
                </c:pt>
                <c:pt idx="17">
                  <c:v>98.374074766974303</c:v>
                </c:pt>
                <c:pt idx="18">
                  <c:v>98.468177088044996</c:v>
                </c:pt>
                <c:pt idx="19">
                  <c:v>98.751657151513101</c:v>
                </c:pt>
                <c:pt idx="20">
                  <c:v>99.217357731248498</c:v>
                </c:pt>
                <c:pt idx="21">
                  <c:v>99.789399561669001</c:v>
                </c:pt>
                <c:pt idx="22">
                  <c:v>100.363982436451</c:v>
                </c:pt>
                <c:pt idx="23">
                  <c:v>100.85027856466201</c:v>
                </c:pt>
                <c:pt idx="24">
                  <c:v>101.215349580092</c:v>
                </c:pt>
                <c:pt idx="25">
                  <c:v>101.46996379159199</c:v>
                </c:pt>
                <c:pt idx="26">
                  <c:v>101.64427313806701</c:v>
                </c:pt>
                <c:pt idx="27">
                  <c:v>101.776533208438</c:v>
                </c:pt>
                <c:pt idx="28">
                  <c:v>101.926503067442</c:v>
                </c:pt>
                <c:pt idx="29">
                  <c:v>102.097105912858</c:v>
                </c:pt>
                <c:pt idx="30">
                  <c:v>102.267853351868</c:v>
                </c:pt>
                <c:pt idx="31">
                  <c:v>102.434662021805</c:v>
                </c:pt>
                <c:pt idx="32">
                  <c:v>102.57357877880401</c:v>
                </c:pt>
                <c:pt idx="33">
                  <c:v>102.66726216797601</c:v>
                </c:pt>
                <c:pt idx="34">
                  <c:v>102.762827082652</c:v>
                </c:pt>
                <c:pt idx="35">
                  <c:v>102.93587579517001</c:v>
                </c:pt>
                <c:pt idx="36">
                  <c:v>103.206693922605</c:v>
                </c:pt>
                <c:pt idx="37">
                  <c:v>103.533470918982</c:v>
                </c:pt>
                <c:pt idx="38">
                  <c:v>103.835851914034</c:v>
                </c:pt>
                <c:pt idx="39">
                  <c:v>104.030478820813</c:v>
                </c:pt>
                <c:pt idx="40">
                  <c:v>104.063273148305</c:v>
                </c:pt>
                <c:pt idx="41">
                  <c:v>104.03096591464799</c:v>
                </c:pt>
                <c:pt idx="42">
                  <c:v>104.02782080705801</c:v>
                </c:pt>
                <c:pt idx="43">
                  <c:v>104.075012615278</c:v>
                </c:pt>
                <c:pt idx="44">
                  <c:v>104.173505301692</c:v>
                </c:pt>
                <c:pt idx="45">
                  <c:v>104.26891045531499</c:v>
                </c:pt>
                <c:pt idx="46">
                  <c:v>104.292166058662</c:v>
                </c:pt>
                <c:pt idx="47">
                  <c:v>104.21844824676</c:v>
                </c:pt>
                <c:pt idx="48">
                  <c:v>104.088841883387</c:v>
                </c:pt>
                <c:pt idx="49">
                  <c:v>103.962205554631</c:v>
                </c:pt>
                <c:pt idx="50">
                  <c:v>103.912075371265</c:v>
                </c:pt>
                <c:pt idx="51">
                  <c:v>103.97737068482699</c:v>
                </c:pt>
                <c:pt idx="52">
                  <c:v>104.113845503612</c:v>
                </c:pt>
                <c:pt idx="53">
                  <c:v>104.191580722993</c:v>
                </c:pt>
                <c:pt idx="54">
                  <c:v>104.119370734</c:v>
                </c:pt>
                <c:pt idx="55">
                  <c:v>103.878971737887</c:v>
                </c:pt>
                <c:pt idx="56">
                  <c:v>103.55206996448</c:v>
                </c:pt>
                <c:pt idx="57">
                  <c:v>103.236560905517</c:v>
                </c:pt>
                <c:pt idx="58">
                  <c:v>102.973955721881</c:v>
                </c:pt>
                <c:pt idx="59">
                  <c:v>102.75389122887999</c:v>
                </c:pt>
                <c:pt idx="60">
                  <c:v>102.570700116081</c:v>
                </c:pt>
                <c:pt idx="61">
                  <c:v>102.420581803874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7F-472C-8FDE-0E8E48502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1783088"/>
        <c:axId val="431785440"/>
      </c:lineChart>
      <c:catAx>
        <c:axId val="43178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es-MX"/>
          </a:p>
        </c:txPr>
        <c:crossAx val="431785440"/>
        <c:crosses val="autoZero"/>
        <c:auto val="1"/>
        <c:lblAlgn val="ctr"/>
        <c:lblOffset val="100"/>
        <c:tickLblSkip val="1"/>
        <c:tickMarkSkip val="12"/>
        <c:noMultiLvlLbl val="1"/>
      </c:catAx>
      <c:valAx>
        <c:axId val="431785440"/>
        <c:scaling>
          <c:orientation val="minMax"/>
          <c:max val="107"/>
          <c:min val="94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crossAx val="431783088"/>
        <c:crosses val="autoZero"/>
        <c:crossBetween val="between"/>
        <c:majorUnit val="3"/>
        <c:minorUnit val="0.4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5.2498809523809524E-2"/>
          <c:y val="0.9523471036104193"/>
          <c:w val="0.90207292463620758"/>
          <c:h val="4.0560319986565445E-2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spPr>
    <a:noFill/>
    <a:ln w="6350">
      <a:solidFill>
        <a:schemeClr val="tx1"/>
      </a:solidFill>
    </a:ln>
    <a:effectLst>
      <a:outerShdw dist="12700" dir="2700000" algn="tl" rotWithShape="0">
        <a:prstClr val="black"/>
      </a:outerShdw>
    </a:effectLst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758134920634922E-2"/>
          <c:y val="4.1859776634927369E-2"/>
          <c:w val="0.92622023809523812"/>
          <c:h val="0.80842256944444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DATOS!$E$4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33CCCC"/>
            </a:solidFill>
            <a:ln>
              <a:noFill/>
            </a:ln>
          </c:spPr>
          <c:invertIfNegative val="0"/>
          <c:cat>
            <c:multiLvlStrRef>
              <c:f>DATOS!$A$149:$B$220</c:f>
              <c:multiLvlStrCache>
                <c:ptCount val="6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DATOS!$E$149:$E$220</c:f>
              <c:numCache>
                <c:formatCode>0.0_)</c:formatCode>
                <c:ptCount val="62"/>
                <c:pt idx="0">
                  <c:v>100.14900383747499</c:v>
                </c:pt>
                <c:pt idx="1">
                  <c:v>101.04125311075499</c:v>
                </c:pt>
                <c:pt idx="2">
                  <c:v>100.968315773478</c:v>
                </c:pt>
                <c:pt idx="3">
                  <c:v>101.64796984319899</c:v>
                </c:pt>
                <c:pt idx="4">
                  <c:v>102.035548525587</c:v>
                </c:pt>
                <c:pt idx="5">
                  <c:v>101.778799711502</c:v>
                </c:pt>
                <c:pt idx="6">
                  <c:v>102.37673386479101</c:v>
                </c:pt>
                <c:pt idx="7">
                  <c:v>101.865298010328</c:v>
                </c:pt>
                <c:pt idx="8">
                  <c:v>101.09258850936</c:v>
                </c:pt>
                <c:pt idx="9">
                  <c:v>100.547641184892</c:v>
                </c:pt>
                <c:pt idx="10">
                  <c:v>100.39962351803401</c:v>
                </c:pt>
                <c:pt idx="11">
                  <c:v>98.869973716786603</c:v>
                </c:pt>
                <c:pt idx="12">
                  <c:v>99.823728316393399</c:v>
                </c:pt>
                <c:pt idx="13">
                  <c:v>100.280716268107</c:v>
                </c:pt>
                <c:pt idx="14">
                  <c:v>97.839021056597801</c:v>
                </c:pt>
                <c:pt idx="15">
                  <c:v>74.147512796318907</c:v>
                </c:pt>
                <c:pt idx="16">
                  <c:v>77.905928293236101</c:v>
                </c:pt>
                <c:pt idx="17">
                  <c:v>90.755058941010702</c:v>
                </c:pt>
                <c:pt idx="18">
                  <c:v>93.828633076640799</c:v>
                </c:pt>
                <c:pt idx="19">
                  <c:v>95.826325170452193</c:v>
                </c:pt>
                <c:pt idx="20">
                  <c:v>96.5878374528602</c:v>
                </c:pt>
                <c:pt idx="21">
                  <c:v>97.607848338507097</c:v>
                </c:pt>
                <c:pt idx="22">
                  <c:v>97.397486048172098</c:v>
                </c:pt>
                <c:pt idx="23">
                  <c:v>97.8428554717824</c:v>
                </c:pt>
                <c:pt idx="24">
                  <c:v>97.997663408288801</c:v>
                </c:pt>
                <c:pt idx="25">
                  <c:v>98.567867753208304</c:v>
                </c:pt>
                <c:pt idx="26">
                  <c:v>99.636724262564101</c:v>
                </c:pt>
                <c:pt idx="27">
                  <c:v>99.416458932947805</c:v>
                </c:pt>
                <c:pt idx="28">
                  <c:v>99.851476318961204</c:v>
                </c:pt>
                <c:pt idx="29">
                  <c:v>100.35188809771</c:v>
                </c:pt>
                <c:pt idx="30">
                  <c:v>100.497423703111</c:v>
                </c:pt>
                <c:pt idx="31">
                  <c:v>100.625927757761</c:v>
                </c:pt>
                <c:pt idx="32">
                  <c:v>100.53610065149699</c:v>
                </c:pt>
                <c:pt idx="33">
                  <c:v>100.506559401407</c:v>
                </c:pt>
                <c:pt idx="34">
                  <c:v>101.31283228513701</c:v>
                </c:pt>
                <c:pt idx="35">
                  <c:v>101.25806536341901</c:v>
                </c:pt>
                <c:pt idx="36">
                  <c:v>101.705860892549</c:v>
                </c:pt>
                <c:pt idx="37">
                  <c:v>102.040602220521</c:v>
                </c:pt>
                <c:pt idx="38">
                  <c:v>102.532575849371</c:v>
                </c:pt>
                <c:pt idx="39">
                  <c:v>102.316084103845</c:v>
                </c:pt>
                <c:pt idx="40">
                  <c:v>103.70644968086199</c:v>
                </c:pt>
                <c:pt idx="41">
                  <c:v>102.03275949037</c:v>
                </c:pt>
                <c:pt idx="42">
                  <c:v>102.65588485879999</c:v>
                </c:pt>
                <c:pt idx="43">
                  <c:v>102.59401771809399</c:v>
                </c:pt>
                <c:pt idx="44">
                  <c:v>102.063998217094</c:v>
                </c:pt>
                <c:pt idx="45">
                  <c:v>102.33991345792499</c:v>
                </c:pt>
                <c:pt idx="46">
                  <c:v>102.523064234747</c:v>
                </c:pt>
                <c:pt idx="47">
                  <c:v>103.148956164946</c:v>
                </c:pt>
                <c:pt idx="48">
                  <c:v>103.10653067892601</c:v>
                </c:pt>
                <c:pt idx="49">
                  <c:v>102.227791555976</c:v>
                </c:pt>
                <c:pt idx="50">
                  <c:v>101.714767732532</c:v>
                </c:pt>
                <c:pt idx="51">
                  <c:v>102.54641388147</c:v>
                </c:pt>
                <c:pt idx="52">
                  <c:v>102.029073380431</c:v>
                </c:pt>
                <c:pt idx="53">
                  <c:v>102.660974885446</c:v>
                </c:pt>
                <c:pt idx="54">
                  <c:v>101.98618013391901</c:v>
                </c:pt>
                <c:pt idx="55">
                  <c:v>102.083990108931</c:v>
                </c:pt>
                <c:pt idx="56">
                  <c:v>102.302724585986</c:v>
                </c:pt>
                <c:pt idx="57">
                  <c:v>101.464994408056</c:v>
                </c:pt>
                <c:pt idx="58">
                  <c:v>100.940520545749</c:v>
                </c:pt>
                <c:pt idx="59">
                  <c:v>100.992322389145</c:v>
                </c:pt>
                <c:pt idx="60">
                  <c:v>100.166929002655</c:v>
                </c:pt>
                <c:pt idx="61">
                  <c:v>100.518366130668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0-42F6-94FB-F7639E9A3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431781520"/>
        <c:axId val="431784264"/>
      </c:barChart>
      <c:lineChart>
        <c:grouping val="standard"/>
        <c:varyColors val="0"/>
        <c:ser>
          <c:idx val="1"/>
          <c:order val="1"/>
          <c:tx>
            <c:strRef>
              <c:f>DATOS!$F$4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rgbClr val="002060"/>
              </a:solidFill>
            </a:ln>
          </c:spPr>
          <c:marker>
            <c:symbol val="none"/>
          </c:marker>
          <c:cat>
            <c:multiLvlStrRef>
              <c:f>DATOS!$A$137:$B$208</c:f>
              <c:multiLvlStrCache>
                <c:ptCount val="7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DATOS!$F$149:$F$220</c:f>
              <c:numCache>
                <c:formatCode>0.0_)</c:formatCode>
                <c:ptCount val="62"/>
                <c:pt idx="0">
                  <c:v>100.49894451811301</c:v>
                </c:pt>
                <c:pt idx="1">
                  <c:v>100.74356957063399</c:v>
                </c:pt>
                <c:pt idx="2">
                  <c:v>101.12636842868</c:v>
                </c:pt>
                <c:pt idx="3">
                  <c:v>101.551009845946</c:v>
                </c:pt>
                <c:pt idx="4">
                  <c:v>101.87736235556</c:v>
                </c:pt>
                <c:pt idx="5">
                  <c:v>102.01241910586501</c:v>
                </c:pt>
                <c:pt idx="6">
                  <c:v>101.930204811625</c:v>
                </c:pt>
                <c:pt idx="7">
                  <c:v>101.675016871754</c:v>
                </c:pt>
                <c:pt idx="8">
                  <c:v>101.31067861618401</c:v>
                </c:pt>
                <c:pt idx="9">
                  <c:v>100.883372184153</c:v>
                </c:pt>
                <c:pt idx="10">
                  <c:v>100.43106863710899</c:v>
                </c:pt>
                <c:pt idx="11">
                  <c:v>99.933690022674199</c:v>
                </c:pt>
                <c:pt idx="12">
                  <c:v>99.363272490984798</c:v>
                </c:pt>
                <c:pt idx="13">
                  <c:v>98.705128044790698</c:v>
                </c:pt>
                <c:pt idx="14">
                  <c:v>97.954985480485405</c:v>
                </c:pt>
                <c:pt idx="15">
                  <c:v>97.184551689362394</c:v>
                </c:pt>
                <c:pt idx="16">
                  <c:v>96.538990476568401</c:v>
                </c:pt>
                <c:pt idx="17">
                  <c:v>96.140490507400898</c:v>
                </c:pt>
                <c:pt idx="18">
                  <c:v>96.042607401072104</c:v>
                </c:pt>
                <c:pt idx="19">
                  <c:v>96.213446954454</c:v>
                </c:pt>
                <c:pt idx="20">
                  <c:v>96.547415737971804</c:v>
                </c:pt>
                <c:pt idx="21">
                  <c:v>96.973582449861297</c:v>
                </c:pt>
                <c:pt idx="22">
                  <c:v>97.429550238953297</c:v>
                </c:pt>
                <c:pt idx="23">
                  <c:v>97.870795363123307</c:v>
                </c:pt>
                <c:pt idx="24">
                  <c:v>98.294684014153106</c:v>
                </c:pt>
                <c:pt idx="25">
                  <c:v>98.715004508745906</c:v>
                </c:pt>
                <c:pt idx="26">
                  <c:v>99.1507360350098</c:v>
                </c:pt>
                <c:pt idx="27">
                  <c:v>99.586739834510695</c:v>
                </c:pt>
                <c:pt idx="28">
                  <c:v>99.952608566715597</c:v>
                </c:pt>
                <c:pt idx="29">
                  <c:v>100.21342915565801</c:v>
                </c:pt>
                <c:pt idx="30">
                  <c:v>100.391649233387</c:v>
                </c:pt>
                <c:pt idx="31">
                  <c:v>100.52534787012701</c:v>
                </c:pt>
                <c:pt idx="32">
                  <c:v>100.661045297797</c:v>
                </c:pt>
                <c:pt idx="33">
                  <c:v>100.839860038507</c:v>
                </c:pt>
                <c:pt idx="34">
                  <c:v>101.077695775821</c:v>
                </c:pt>
                <c:pt idx="35">
                  <c:v>101.394458224091</c:v>
                </c:pt>
                <c:pt idx="36">
                  <c:v>101.732938586263</c:v>
                </c:pt>
                <c:pt idx="37">
                  <c:v>102.02631411663501</c:v>
                </c:pt>
                <c:pt idx="38">
                  <c:v>102.246780445585</c:v>
                </c:pt>
                <c:pt idx="39">
                  <c:v>102.38075325967201</c:v>
                </c:pt>
                <c:pt idx="40">
                  <c:v>102.436359926818</c:v>
                </c:pt>
                <c:pt idx="41">
                  <c:v>102.423908291342</c:v>
                </c:pt>
                <c:pt idx="42">
                  <c:v>102.37543909079101</c:v>
                </c:pt>
                <c:pt idx="43">
                  <c:v>102.370811646672</c:v>
                </c:pt>
                <c:pt idx="44">
                  <c:v>102.446325021525</c:v>
                </c:pt>
                <c:pt idx="45">
                  <c:v>102.555234017335</c:v>
                </c:pt>
                <c:pt idx="46">
                  <c:v>102.64377025418599</c:v>
                </c:pt>
                <c:pt idx="47">
                  <c:v>102.66308077475701</c:v>
                </c:pt>
                <c:pt idx="48">
                  <c:v>102.609403889048</c:v>
                </c:pt>
                <c:pt idx="49">
                  <c:v>102.506526174264</c:v>
                </c:pt>
                <c:pt idx="50">
                  <c:v>102.369298306735</c:v>
                </c:pt>
                <c:pt idx="51">
                  <c:v>102.263902771334</c:v>
                </c:pt>
                <c:pt idx="52">
                  <c:v>102.238376578131</c:v>
                </c:pt>
                <c:pt idx="53">
                  <c:v>102.253262844356</c:v>
                </c:pt>
                <c:pt idx="54">
                  <c:v>102.24178457027</c:v>
                </c:pt>
                <c:pt idx="55">
                  <c:v>102.11588571852</c:v>
                </c:pt>
                <c:pt idx="56">
                  <c:v>101.853229479224</c:v>
                </c:pt>
                <c:pt idx="57">
                  <c:v>101.51155191748001</c:v>
                </c:pt>
                <c:pt idx="58">
                  <c:v>101.14883461313499</c:v>
                </c:pt>
                <c:pt idx="59">
                  <c:v>100.817538589271</c:v>
                </c:pt>
                <c:pt idx="60">
                  <c:v>100.582290496078</c:v>
                </c:pt>
                <c:pt idx="61">
                  <c:v>100.459137559665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30-42F6-94FB-F7639E9A3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1781520"/>
        <c:axId val="431784264"/>
      </c:lineChart>
      <c:catAx>
        <c:axId val="43178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es-MX"/>
          </a:p>
        </c:txPr>
        <c:crossAx val="431784264"/>
        <c:crosses val="autoZero"/>
        <c:auto val="1"/>
        <c:lblAlgn val="ctr"/>
        <c:lblOffset val="100"/>
        <c:tickLblSkip val="1"/>
        <c:tickMarkSkip val="12"/>
        <c:noMultiLvlLbl val="1"/>
      </c:catAx>
      <c:valAx>
        <c:axId val="431784264"/>
        <c:scaling>
          <c:orientation val="minMax"/>
          <c:max val="113"/>
          <c:min val="70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crossAx val="431781520"/>
        <c:crosses val="autoZero"/>
        <c:crossBetween val="between"/>
        <c:majorUnit val="10"/>
        <c:minorUnit val="0.4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5.4611706349206347E-2"/>
          <c:y val="0.94639754441838542"/>
          <c:w val="0.90207292463620758"/>
          <c:h val="5.3602546296296294E-2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spPr>
    <a:noFill/>
    <a:ln w="6350">
      <a:solidFill>
        <a:schemeClr val="tx1"/>
      </a:solidFill>
    </a:ln>
    <a:effectLst>
      <a:outerShdw dist="12700" dir="2700000" algn="tl" rotWithShape="0">
        <a:prstClr val="black"/>
      </a:outerShdw>
    </a:effectLst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668055555555555E-2"/>
          <c:y val="4.6886072213253131E-2"/>
          <c:w val="0.91855932539682539"/>
          <c:h val="0.803396180555555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DATOS!$G$4</c:f>
              <c:strCache>
                <c:ptCount val="1"/>
                <c:pt idx="0">
                  <c:v>Serie desestacionalizada</c:v>
                </c:pt>
              </c:strCache>
            </c:strRef>
          </c:tx>
          <c:spPr>
            <a:solidFill>
              <a:srgbClr val="33CCCC"/>
            </a:solidFill>
            <a:ln>
              <a:noFill/>
            </a:ln>
          </c:spPr>
          <c:invertIfNegative val="0"/>
          <c:cat>
            <c:multiLvlStrRef>
              <c:f>DATOS!$A$149:$B$220</c:f>
              <c:multiLvlStrCache>
                <c:ptCount val="6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DATOS!$G$149:$G$220</c:f>
              <c:numCache>
                <c:formatCode>0.0_)</c:formatCode>
                <c:ptCount val="62"/>
                <c:pt idx="0">
                  <c:v>100.41630799139701</c:v>
                </c:pt>
                <c:pt idx="1">
                  <c:v>100.119515364802</c:v>
                </c:pt>
                <c:pt idx="2">
                  <c:v>100.461274992361</c:v>
                </c:pt>
                <c:pt idx="3">
                  <c:v>100.365148261359</c:v>
                </c:pt>
                <c:pt idx="4">
                  <c:v>104.811082628704</c:v>
                </c:pt>
                <c:pt idx="5">
                  <c:v>100.97503662061401</c:v>
                </c:pt>
                <c:pt idx="6">
                  <c:v>100.387664842124</c:v>
                </c:pt>
                <c:pt idx="7">
                  <c:v>102.353457067235</c:v>
                </c:pt>
                <c:pt idx="8">
                  <c:v>101.6380687276</c:v>
                </c:pt>
                <c:pt idx="9">
                  <c:v>100.98491674338599</c:v>
                </c:pt>
                <c:pt idx="10">
                  <c:v>101.506763871831</c:v>
                </c:pt>
                <c:pt idx="11">
                  <c:v>101.36734820768</c:v>
                </c:pt>
                <c:pt idx="12">
                  <c:v>100.614824678007</c:v>
                </c:pt>
                <c:pt idx="13">
                  <c:v>101.27997341556799</c:v>
                </c:pt>
                <c:pt idx="14">
                  <c:v>100.14504011771901</c:v>
                </c:pt>
                <c:pt idx="15">
                  <c:v>98.892105115896598</c:v>
                </c:pt>
                <c:pt idx="16">
                  <c:v>99.447945352043703</c:v>
                </c:pt>
                <c:pt idx="17">
                  <c:v>99.555987705965705</c:v>
                </c:pt>
                <c:pt idx="18">
                  <c:v>101.37678909515699</c:v>
                </c:pt>
                <c:pt idx="19">
                  <c:v>102.489167275434</c:v>
                </c:pt>
                <c:pt idx="20">
                  <c:v>101.196527807639</c:v>
                </c:pt>
                <c:pt idx="21">
                  <c:v>104.481283316698</c:v>
                </c:pt>
                <c:pt idx="22">
                  <c:v>103.22884695949</c:v>
                </c:pt>
                <c:pt idx="23">
                  <c:v>102.29221577891001</c:v>
                </c:pt>
                <c:pt idx="24">
                  <c:v>103.509846189226</c:v>
                </c:pt>
                <c:pt idx="25">
                  <c:v>102.62420869009701</c:v>
                </c:pt>
                <c:pt idx="26">
                  <c:v>103.79723308506099</c:v>
                </c:pt>
                <c:pt idx="27">
                  <c:v>100.74163780083499</c:v>
                </c:pt>
                <c:pt idx="28">
                  <c:v>103.825199921318</c:v>
                </c:pt>
                <c:pt idx="29">
                  <c:v>100.525302923509</c:v>
                </c:pt>
                <c:pt idx="30">
                  <c:v>104.336777793688</c:v>
                </c:pt>
                <c:pt idx="31">
                  <c:v>103.775415874453</c:v>
                </c:pt>
                <c:pt idx="32">
                  <c:v>104.62626460543299</c:v>
                </c:pt>
                <c:pt idx="33">
                  <c:v>105.75854582621901</c:v>
                </c:pt>
                <c:pt idx="34">
                  <c:v>105.19033304280001</c:v>
                </c:pt>
                <c:pt idx="35">
                  <c:v>106.77229688288</c:v>
                </c:pt>
                <c:pt idx="36">
                  <c:v>106.364655279267</c:v>
                </c:pt>
                <c:pt idx="37">
                  <c:v>106.95615369767501</c:v>
                </c:pt>
                <c:pt idx="38">
                  <c:v>105.69969699702</c:v>
                </c:pt>
                <c:pt idx="39">
                  <c:v>107.348954880544</c:v>
                </c:pt>
                <c:pt idx="40">
                  <c:v>106.536223045517</c:v>
                </c:pt>
                <c:pt idx="41">
                  <c:v>106.38124757080401</c:v>
                </c:pt>
                <c:pt idx="42">
                  <c:v>106.799509262239</c:v>
                </c:pt>
                <c:pt idx="43">
                  <c:v>105.656197170833</c:v>
                </c:pt>
                <c:pt idx="44">
                  <c:v>106.82535062199899</c:v>
                </c:pt>
                <c:pt idx="45">
                  <c:v>106.83092049369699</c:v>
                </c:pt>
                <c:pt idx="46">
                  <c:v>106.957197143562</c:v>
                </c:pt>
                <c:pt idx="47">
                  <c:v>108.231971016719</c:v>
                </c:pt>
                <c:pt idx="48">
                  <c:v>109.199610448321</c:v>
                </c:pt>
                <c:pt idx="49">
                  <c:v>109.158844406589</c:v>
                </c:pt>
                <c:pt idx="50">
                  <c:v>110.565982633331</c:v>
                </c:pt>
                <c:pt idx="51">
                  <c:v>111.158335018805</c:v>
                </c:pt>
                <c:pt idx="52">
                  <c:v>111.887068780432</c:v>
                </c:pt>
                <c:pt idx="53">
                  <c:v>112.26786840660699</c:v>
                </c:pt>
                <c:pt idx="54">
                  <c:v>111.602673377366</c:v>
                </c:pt>
                <c:pt idx="55">
                  <c:v>112.04471237565799</c:v>
                </c:pt>
                <c:pt idx="56">
                  <c:v>112.92861641117101</c:v>
                </c:pt>
                <c:pt idx="57">
                  <c:v>112.408045796992</c:v>
                </c:pt>
                <c:pt idx="58">
                  <c:v>113.485856211466</c:v>
                </c:pt>
                <c:pt idx="59">
                  <c:v>113.6942178244</c:v>
                </c:pt>
                <c:pt idx="60">
                  <c:v>113.387835391911</c:v>
                </c:pt>
                <c:pt idx="61">
                  <c:v>114.48634057254699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F6-415E-8734-D9189B519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431785832"/>
        <c:axId val="431780344"/>
      </c:barChart>
      <c:lineChart>
        <c:grouping val="standard"/>
        <c:varyColors val="0"/>
        <c:ser>
          <c:idx val="1"/>
          <c:order val="1"/>
          <c:tx>
            <c:strRef>
              <c:f>DATOS!$H$4</c:f>
              <c:strCache>
                <c:ptCount val="1"/>
                <c:pt idx="0">
                  <c:v>Serie tendencia-ciclo</c:v>
                </c:pt>
              </c:strCache>
            </c:strRef>
          </c:tx>
          <c:spPr>
            <a:ln w="12700">
              <a:solidFill>
                <a:srgbClr val="002060"/>
              </a:solidFill>
            </a:ln>
          </c:spPr>
          <c:marker>
            <c:symbol val="none"/>
          </c:marker>
          <c:cat>
            <c:multiLvlStrRef>
              <c:f>DATOS!$A$137:$B$208</c:f>
              <c:multiLvlStrCache>
                <c:ptCount val="72"/>
                <c:lvl>
                  <c:pt idx="0">
                    <c:v>E</c:v>
                  </c:pt>
                  <c:pt idx="1">
                    <c:v>F</c:v>
                  </c:pt>
                  <c:pt idx="2">
                    <c:v>M</c:v>
                  </c:pt>
                  <c:pt idx="3">
                    <c:v>A</c:v>
                  </c:pt>
                  <c:pt idx="4">
                    <c:v>M</c:v>
                  </c:pt>
                  <c:pt idx="5">
                    <c:v>J</c:v>
                  </c:pt>
                  <c:pt idx="6">
                    <c:v>J</c:v>
                  </c:pt>
                  <c:pt idx="7">
                    <c:v>A</c:v>
                  </c:pt>
                  <c:pt idx="8">
                    <c:v>S</c:v>
                  </c:pt>
                  <c:pt idx="9">
                    <c:v>O</c:v>
                  </c:pt>
                  <c:pt idx="10">
                    <c:v>N</c:v>
                  </c:pt>
                  <c:pt idx="11">
                    <c:v>D</c:v>
                  </c:pt>
                  <c:pt idx="12">
                    <c:v>E</c:v>
                  </c:pt>
                  <c:pt idx="13">
                    <c:v>F</c:v>
                  </c:pt>
                  <c:pt idx="14">
                    <c:v>M</c:v>
                  </c:pt>
                  <c:pt idx="15">
                    <c:v>A</c:v>
                  </c:pt>
                  <c:pt idx="16">
                    <c:v>M</c:v>
                  </c:pt>
                  <c:pt idx="17">
                    <c:v>J</c:v>
                  </c:pt>
                  <c:pt idx="18">
                    <c:v>J</c:v>
                  </c:pt>
                  <c:pt idx="19">
                    <c:v>A</c:v>
                  </c:pt>
                  <c:pt idx="20">
                    <c:v>S</c:v>
                  </c:pt>
                  <c:pt idx="21">
                    <c:v>O</c:v>
                  </c:pt>
                  <c:pt idx="22">
                    <c:v>N</c:v>
                  </c:pt>
                  <c:pt idx="23">
                    <c:v>D</c:v>
                  </c:pt>
                  <c:pt idx="24">
                    <c:v>E</c:v>
                  </c:pt>
                  <c:pt idx="25">
                    <c:v>F</c:v>
                  </c:pt>
                  <c:pt idx="26">
                    <c:v>M</c:v>
                  </c:pt>
                  <c:pt idx="27">
                    <c:v>A</c:v>
                  </c:pt>
                  <c:pt idx="28">
                    <c:v>M</c:v>
                  </c:pt>
                  <c:pt idx="29">
                    <c:v>J</c:v>
                  </c:pt>
                  <c:pt idx="30">
                    <c:v>J</c:v>
                  </c:pt>
                  <c:pt idx="31">
                    <c:v>A</c:v>
                  </c:pt>
                  <c:pt idx="32">
                    <c:v>S</c:v>
                  </c:pt>
                  <c:pt idx="33">
                    <c:v>O</c:v>
                  </c:pt>
                  <c:pt idx="34">
                    <c:v>N</c:v>
                  </c:pt>
                  <c:pt idx="35">
                    <c:v>D</c:v>
                  </c:pt>
                  <c:pt idx="36">
                    <c:v>E</c:v>
                  </c:pt>
                  <c:pt idx="37">
                    <c:v>F</c:v>
                  </c:pt>
                  <c:pt idx="38">
                    <c:v>M</c:v>
                  </c:pt>
                  <c:pt idx="39">
                    <c:v>A</c:v>
                  </c:pt>
                  <c:pt idx="40">
                    <c:v>M</c:v>
                  </c:pt>
                  <c:pt idx="41">
                    <c:v>J</c:v>
                  </c:pt>
                  <c:pt idx="42">
                    <c:v>J</c:v>
                  </c:pt>
                  <c:pt idx="43">
                    <c:v>A</c:v>
                  </c:pt>
                  <c:pt idx="44">
                    <c:v>S</c:v>
                  </c:pt>
                  <c:pt idx="45">
                    <c:v>O</c:v>
                  </c:pt>
                  <c:pt idx="46">
                    <c:v>N</c:v>
                  </c:pt>
                  <c:pt idx="47">
                    <c:v>D</c:v>
                  </c:pt>
                  <c:pt idx="48">
                    <c:v>E</c:v>
                  </c:pt>
                  <c:pt idx="49">
                    <c:v>F</c:v>
                  </c:pt>
                  <c:pt idx="50">
                    <c:v>M</c:v>
                  </c:pt>
                  <c:pt idx="51">
                    <c:v>A</c:v>
                  </c:pt>
                  <c:pt idx="52">
                    <c:v>M</c:v>
                  </c:pt>
                  <c:pt idx="53">
                    <c:v>J</c:v>
                  </c:pt>
                  <c:pt idx="54">
                    <c:v>J</c:v>
                  </c:pt>
                  <c:pt idx="55">
                    <c:v>A</c:v>
                  </c:pt>
                  <c:pt idx="56">
                    <c:v>S</c:v>
                  </c:pt>
                  <c:pt idx="57">
                    <c:v>O</c:v>
                  </c:pt>
                  <c:pt idx="58">
                    <c:v>N</c:v>
                  </c:pt>
                  <c:pt idx="59">
                    <c:v>D</c:v>
                  </c:pt>
                  <c:pt idx="60">
                    <c:v>E</c:v>
                  </c:pt>
                  <c:pt idx="61">
                    <c:v>F</c:v>
                  </c:pt>
                  <c:pt idx="62">
                    <c:v>M</c:v>
                  </c:pt>
                  <c:pt idx="63">
                    <c:v>A</c:v>
                  </c:pt>
                  <c:pt idx="64">
                    <c:v>M</c:v>
                  </c:pt>
                  <c:pt idx="65">
                    <c:v>J</c:v>
                  </c:pt>
                  <c:pt idx="66">
                    <c:v>J</c:v>
                  </c:pt>
                  <c:pt idx="67">
                    <c:v>A</c:v>
                  </c:pt>
                  <c:pt idx="68">
                    <c:v>S</c:v>
                  </c:pt>
                  <c:pt idx="69">
                    <c:v>O</c:v>
                  </c:pt>
                  <c:pt idx="70">
                    <c:v>N</c:v>
                  </c:pt>
                  <c:pt idx="71">
                    <c:v>D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DATOS!$H$149:$H$220</c:f>
              <c:numCache>
                <c:formatCode>0.0_)</c:formatCode>
                <c:ptCount val="62"/>
                <c:pt idx="0">
                  <c:v>99.841323546190907</c:v>
                </c:pt>
                <c:pt idx="1">
                  <c:v>100.04785437525</c:v>
                </c:pt>
                <c:pt idx="2">
                  <c:v>100.280829267676</c:v>
                </c:pt>
                <c:pt idx="3">
                  <c:v>100.524203951948</c:v>
                </c:pt>
                <c:pt idx="4">
                  <c:v>100.765457394332</c:v>
                </c:pt>
                <c:pt idx="5">
                  <c:v>100.985164388334</c:v>
                </c:pt>
                <c:pt idx="6">
                  <c:v>101.163896741972</c:v>
                </c:pt>
                <c:pt idx="7">
                  <c:v>101.279550369581</c:v>
                </c:pt>
                <c:pt idx="8">
                  <c:v>101.30885790618601</c:v>
                </c:pt>
                <c:pt idx="9">
                  <c:v>101.25301151349301</c:v>
                </c:pt>
                <c:pt idx="10">
                  <c:v>101.120489179019</c:v>
                </c:pt>
                <c:pt idx="11">
                  <c:v>100.929314575177</c:v>
                </c:pt>
                <c:pt idx="12">
                  <c:v>100.713758151683</c:v>
                </c:pt>
                <c:pt idx="13">
                  <c:v>100.51325136125401</c:v>
                </c:pt>
                <c:pt idx="14">
                  <c:v>100.374580026743</c:v>
                </c:pt>
                <c:pt idx="15">
                  <c:v>100.33044079695399</c:v>
                </c:pt>
                <c:pt idx="16">
                  <c:v>100.402989915204</c:v>
                </c:pt>
                <c:pt idx="17">
                  <c:v>100.59404927946299</c:v>
                </c:pt>
                <c:pt idx="18">
                  <c:v>100.889061940658</c:v>
                </c:pt>
                <c:pt idx="19">
                  <c:v>101.25736507305599</c:v>
                </c:pt>
                <c:pt idx="20">
                  <c:v>101.66124831330001</c:v>
                </c:pt>
                <c:pt idx="21">
                  <c:v>102.068030215034</c:v>
                </c:pt>
                <c:pt idx="22">
                  <c:v>102.44081389048699</c:v>
                </c:pt>
                <c:pt idx="23">
                  <c:v>102.755083365468</c:v>
                </c:pt>
                <c:pt idx="24">
                  <c:v>103.000454618717</c:v>
                </c:pt>
                <c:pt idx="25">
                  <c:v>103.187327966388</c:v>
                </c:pt>
                <c:pt idx="26">
                  <c:v>103.338895958438</c:v>
                </c:pt>
                <c:pt idx="27">
                  <c:v>103.49716584418201</c:v>
                </c:pt>
                <c:pt idx="28">
                  <c:v>103.68878476451999</c:v>
                </c:pt>
                <c:pt idx="29">
                  <c:v>103.927974200866</c:v>
                </c:pt>
                <c:pt idx="30">
                  <c:v>104.217078660871</c:v>
                </c:pt>
                <c:pt idx="31">
                  <c:v>104.54466126747501</c:v>
                </c:pt>
                <c:pt idx="32">
                  <c:v>104.90361943216899</c:v>
                </c:pt>
                <c:pt idx="33">
                  <c:v>105.276773194177</c:v>
                </c:pt>
                <c:pt idx="34">
                  <c:v>105.63386193887899</c:v>
                </c:pt>
                <c:pt idx="35">
                  <c:v>105.950351687809</c:v>
                </c:pt>
                <c:pt idx="36">
                  <c:v>106.20497810772601</c:v>
                </c:pt>
                <c:pt idx="37">
                  <c:v>106.378621418758</c:v>
                </c:pt>
                <c:pt idx="38">
                  <c:v>106.473741129741</c:v>
                </c:pt>
                <c:pt idx="39">
                  <c:v>106.500605148852</c:v>
                </c:pt>
                <c:pt idx="40">
                  <c:v>106.488253778844</c:v>
                </c:pt>
                <c:pt idx="41">
                  <c:v>106.472880973165</c:v>
                </c:pt>
                <c:pt idx="42">
                  <c:v>106.497841502452</c:v>
                </c:pt>
                <c:pt idx="43">
                  <c:v>106.607134045633</c:v>
                </c:pt>
                <c:pt idx="44">
                  <c:v>106.83430831091199</c:v>
                </c:pt>
                <c:pt idx="45">
                  <c:v>107.187047769168</c:v>
                </c:pt>
                <c:pt idx="46">
                  <c:v>107.66008902836499</c:v>
                </c:pt>
                <c:pt idx="47">
                  <c:v>108.23085878633501</c:v>
                </c:pt>
                <c:pt idx="48">
                  <c:v>108.861173182117</c:v>
                </c:pt>
                <c:pt idx="49">
                  <c:v>109.516953017904</c:v>
                </c:pt>
                <c:pt idx="50">
                  <c:v>110.158389709383</c:v>
                </c:pt>
                <c:pt idx="51">
                  <c:v>110.751063145364</c:v>
                </c:pt>
                <c:pt idx="52">
                  <c:v>111.267591187124</c:v>
                </c:pt>
                <c:pt idx="53">
                  <c:v>111.704682097977</c:v>
                </c:pt>
                <c:pt idx="54">
                  <c:v>112.07081977820199</c:v>
                </c:pt>
                <c:pt idx="55">
                  <c:v>112.38659878580199</c:v>
                </c:pt>
                <c:pt idx="56">
                  <c:v>112.679845287973</c:v>
                </c:pt>
                <c:pt idx="57">
                  <c:v>112.972248364484</c:v>
                </c:pt>
                <c:pt idx="58">
                  <c:v>113.286632167238</c:v>
                </c:pt>
                <c:pt idx="59">
                  <c:v>113.633384118251</c:v>
                </c:pt>
                <c:pt idx="60">
                  <c:v>114.011470904219</c:v>
                </c:pt>
                <c:pt idx="61">
                  <c:v>114.41545382999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F6-415E-8734-D9189B519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1785832"/>
        <c:axId val="431780344"/>
      </c:lineChart>
      <c:catAx>
        <c:axId val="431785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es-MX"/>
          </a:p>
        </c:txPr>
        <c:crossAx val="431780344"/>
        <c:crosses val="autoZero"/>
        <c:auto val="1"/>
        <c:lblAlgn val="ctr"/>
        <c:lblOffset val="100"/>
        <c:tickLblSkip val="1"/>
        <c:tickMarkSkip val="12"/>
        <c:noMultiLvlLbl val="1"/>
      </c:catAx>
      <c:valAx>
        <c:axId val="431780344"/>
        <c:scaling>
          <c:orientation val="minMax"/>
          <c:max val="118"/>
          <c:min val="95"/>
        </c:scaling>
        <c:delete val="0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</c:spPr>
        <c:crossAx val="431785832"/>
        <c:crosses val="autoZero"/>
        <c:crossBetween val="between"/>
        <c:majorUnit val="5"/>
        <c:minorUnit val="0.4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5.7131547619047617E-2"/>
          <c:y val="0.95084910980960269"/>
          <c:w val="0.90207292463620758"/>
          <c:h val="4.9150890190397305E-2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spPr>
    <a:noFill/>
    <a:ln w="6350">
      <a:solidFill>
        <a:schemeClr val="tx1"/>
      </a:solidFill>
    </a:ln>
    <a:effectLst>
      <a:outerShdw dist="12700" dir="2700000" algn="tl" rotWithShape="0">
        <a:prstClr val="black"/>
      </a:outerShdw>
    </a:effectLst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FF36E69C3249968D779353D3735D" ma:contentTypeVersion="5" ma:contentTypeDescription="Create a new document." ma:contentTypeScope="" ma:versionID="5e145fd5d5b3da8cd46318bdf79d7cfe">
  <xsd:schema xmlns:xsd="http://www.w3.org/2001/XMLSchema" xmlns:xs="http://www.w3.org/2001/XMLSchema" xmlns:p="http://schemas.microsoft.com/office/2006/metadata/properties" xmlns:ns2="a86ee325-94b0-4f30-847e-6646843bcaf7" xmlns:ns3="1ba99075-95a4-4d57-a0ef-fc2aa316c235" targetNamespace="http://schemas.microsoft.com/office/2006/metadata/properties" ma:root="true" ma:fieldsID="640ea30ca7e4f9e69571ed3600e5caf4" ns2:_="" ns3:_="">
    <xsd:import namespace="a86ee325-94b0-4f30-847e-6646843bcaf7"/>
    <xsd:import namespace="1ba99075-95a4-4d57-a0ef-fc2aa316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325-94b0-4f30-847e-6646843b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9075-95a4-4d57-a0ef-fc2aa316c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03F0-6A62-4949-BEED-5E715B8F6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A5B7B-9E0C-471C-A106-D47BCA40F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ee325-94b0-4f30-847e-6646843bcaf7"/>
    <ds:schemaRef ds:uri="1ba99075-95a4-4d57-a0ef-fc2aa316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3FD5C-5A27-4CF2-AD25-BD4C5E7B6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C94D9-55EB-4EB0-8583-C60D436C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2834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del Sector Manufacturero</vt:lpstr>
    </vt:vector>
  </TitlesOfParts>
  <Company>INEGI</Company>
  <LinksUpToDate>false</LinksUpToDate>
  <CharactersWithSpaces>18388</CharactersWithSpaces>
  <SharedDoc>false</SharedDoc>
  <HLinks>
    <vt:vector size="36" baseType="variant">
      <vt:variant>
        <vt:i4>3342394</vt:i4>
      </vt:variant>
      <vt:variant>
        <vt:i4>15</vt:i4>
      </vt:variant>
      <vt:variant>
        <vt:i4>0</vt:i4>
      </vt:variant>
      <vt:variant>
        <vt:i4>5</vt:i4>
      </vt:variant>
      <vt:variant>
        <vt:lpwstr>https://www.inegi.org.mx/app/indicadores/?tm=0</vt:lpwstr>
      </vt:variant>
      <vt:variant>
        <vt:lpwstr/>
      </vt:variant>
      <vt:variant>
        <vt:i4>1572950</vt:i4>
      </vt:variant>
      <vt:variant>
        <vt:i4>12</vt:i4>
      </vt:variant>
      <vt:variant>
        <vt:i4>0</vt:i4>
      </vt:variant>
      <vt:variant>
        <vt:i4>5</vt:i4>
      </vt:variant>
      <vt:variant>
        <vt:lpwstr>https://www.inegi.org.mx/programas/emim/2013/</vt:lpwstr>
      </vt:variant>
      <vt:variant>
        <vt:lpwstr/>
      </vt:variant>
      <vt:variant>
        <vt:i4>1835076</vt:i4>
      </vt:variant>
      <vt:variant>
        <vt:i4>9</vt:i4>
      </vt:variant>
      <vt:variant>
        <vt:i4>0</vt:i4>
      </vt:variant>
      <vt:variant>
        <vt:i4>5</vt:i4>
      </vt:variant>
      <vt:variant>
        <vt:lpwstr>https://www.inegi.org.mx/temas/manufacturas/</vt:lpwstr>
      </vt:variant>
      <vt:variant>
        <vt:lpwstr/>
      </vt:variant>
      <vt:variant>
        <vt:i4>2228345</vt:i4>
      </vt:variant>
      <vt:variant>
        <vt:i4>6</vt:i4>
      </vt:variant>
      <vt:variant>
        <vt:i4>0</vt:i4>
      </vt:variant>
      <vt:variant>
        <vt:i4>5</vt:i4>
      </vt:variant>
      <vt:variant>
        <vt:lpwstr>https://www.inegi.org.mx/app/biblioteca/ficha.html?upc=702825099060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https://www.inegi.org.mx/programas/emim/2013/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https://www.inegi.org.mx/programas/emim/2013/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del Sector Manufacturero</dc:title>
  <dc:subject>Indicadores del Sector Manufacturero</dc:subject>
  <dc:creator>INEGI</dc:creator>
  <cp:keywords>Pesonal Ocupado Total, Horas Trabajadas, Remuneraciones, Capacidad de Planta.</cp:keywords>
  <cp:lastModifiedBy>GUILLEN MEDINA MOISES</cp:lastModifiedBy>
  <cp:revision>20</cp:revision>
  <cp:lastPrinted>2023-07-13T16:20:00Z</cp:lastPrinted>
  <dcterms:created xsi:type="dcterms:W3CDTF">2024-04-09T16:53:00Z</dcterms:created>
  <dcterms:modified xsi:type="dcterms:W3CDTF">2024-04-12T20:40:00Z</dcterms:modified>
  <cp:category>Encuesta Nacional de Ocupación y Empleo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eefed5f018e3ea18265c7392e7b41a01a2371fdc1f92d9d35ba0dac63407015a</vt:lpwstr>
  </property>
  <property fmtid="{D5CDD505-2E9C-101B-9397-08002B2CF9AE}" pid="3" name="ContentTypeId">
    <vt:lpwstr>0x0101008E8FFF36E69C3249968D779353D3735D</vt:lpwstr>
  </property>
</Properties>
</file>